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61AE8" w14:textId="77777777" w:rsidR="00E31540" w:rsidRDefault="00DD4368">
      <w:pPr>
        <w:pStyle w:val="2"/>
      </w:pPr>
      <w:r>
        <w:t>Лекція 4</w:t>
      </w:r>
    </w:p>
    <w:p w14:paraId="4F332074" w14:textId="77777777" w:rsidR="00E31540" w:rsidRDefault="00DD4368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Визн</w:t>
      </w:r>
      <w:r>
        <w:rPr>
          <w:b/>
          <w:bCs/>
          <w:i/>
          <w:iCs/>
          <w:sz w:val="28"/>
        </w:rPr>
        <w:t>ачення ТСО сервісу ІВ.</w:t>
      </w:r>
    </w:p>
    <w:p w14:paraId="7770EAD0" w14:textId="77777777" w:rsidR="00E31540" w:rsidRDefault="00E31540">
      <w:pPr>
        <w:rPr>
          <w:b/>
          <w:bCs/>
          <w:i/>
          <w:iCs/>
          <w:sz w:val="28"/>
        </w:rPr>
      </w:pPr>
    </w:p>
    <w:p w14:paraId="41ED2440" w14:textId="77777777" w:rsidR="00E31540" w:rsidRDefault="00DD4368">
      <w:pPr>
        <w:numPr>
          <w:ilvl w:val="0"/>
          <w:numId w:val="7"/>
        </w:numPr>
        <w:rPr>
          <w:sz w:val="20"/>
        </w:rPr>
      </w:pPr>
      <w:r>
        <w:rPr>
          <w:sz w:val="20"/>
        </w:rPr>
        <w:t>Проблема визначення об'єкта витрат</w:t>
      </w:r>
    </w:p>
    <w:p w14:paraId="41947A4D" w14:textId="77777777" w:rsidR="00E31540" w:rsidRDefault="00DD4368">
      <w:pPr>
        <w:numPr>
          <w:ilvl w:val="0"/>
          <w:numId w:val="7"/>
        </w:numPr>
        <w:rPr>
          <w:sz w:val="20"/>
        </w:rPr>
      </w:pPr>
      <w:r>
        <w:rPr>
          <w:sz w:val="20"/>
        </w:rPr>
        <w:t>Функціонально-вартісна модель сервісу ІВ.</w:t>
      </w:r>
    </w:p>
    <w:p w14:paraId="7824A7A6" w14:textId="77777777" w:rsidR="00E31540" w:rsidRDefault="00DD4368">
      <w:pPr>
        <w:numPr>
          <w:ilvl w:val="0"/>
          <w:numId w:val="7"/>
        </w:numPr>
        <w:rPr>
          <w:b/>
          <w:sz w:val="20"/>
        </w:rPr>
      </w:pPr>
      <w:r>
        <w:rPr>
          <w:sz w:val="20"/>
        </w:rPr>
        <w:t>Джерела даних визначення ТСО інформаційних сервісів. (Не буде в МК!)</w:t>
      </w:r>
    </w:p>
    <w:p w14:paraId="314076AE" w14:textId="77777777" w:rsidR="00E31540" w:rsidRDefault="00E31540">
      <w:pPr>
        <w:rPr>
          <w:b/>
          <w:bCs/>
          <w:sz w:val="28"/>
        </w:rPr>
      </w:pPr>
    </w:p>
    <w:p w14:paraId="1115AFEE" w14:textId="77777777" w:rsidR="00E31540" w:rsidRDefault="00DD4368">
      <w:pPr>
        <w:rPr>
          <w:i/>
          <w:iCs/>
        </w:rPr>
      </w:pPr>
      <w:r>
        <w:rPr>
          <w:b/>
          <w:bCs/>
          <w:i/>
          <w:iCs/>
        </w:rPr>
        <w:t>1. Проблема визначення об'єкта витрат.</w:t>
      </w:r>
    </w:p>
    <w:p w14:paraId="080AF237" w14:textId="77777777" w:rsidR="00E31540" w:rsidRDefault="00DD4368">
      <w:pPr>
        <w:ind w:firstLine="540"/>
        <w:jc w:val="both"/>
      </w:pPr>
      <w:r>
        <w:t>Для вирішення завдань управління необхідно роз</w:t>
      </w:r>
      <w:r>
        <w:t>поділяти ТЗН між різними керованими об'єктами (об'єктами витрат).</w:t>
      </w:r>
    </w:p>
    <w:p w14:paraId="26FAD6AA" w14:textId="77777777" w:rsidR="00E31540" w:rsidRDefault="00DD4368">
      <w:pPr>
        <w:ind w:firstLine="540"/>
        <w:jc w:val="both"/>
      </w:pPr>
      <w:r>
        <w:t>Проблема визначення об'єкта витрат, коли йдеться про інформаційну систему, пов'язана з тим, що ІВ не забезпечує надходження виручки безпосередньо. Отже, витрати на ІС мають бути обґрунтовані</w:t>
      </w:r>
      <w:r>
        <w:t xml:space="preserve"> покращенням фінансового результату основних бізнес-процесів підприємства, хоча безпосередньо ці результати не пов'язані з тим, є на підприємстві інформаційна система, чи ні. Бізнес отримує від ІВ різні послуги, що опосередковано впливає на кінцевий резуль</w:t>
      </w:r>
      <w:r>
        <w:t>тат. Тому, в рамках моделі ITSM об'єктом витрат при оцінці ТСО ІВ вважають сервіс, який надається ІВ бізнес-процесам підприємства. ТСО у разі визначається як сума витрат підприємства, що з виконанням всіх сервісів ИС.</w:t>
      </w:r>
    </w:p>
    <w:p w14:paraId="0009F175" w14:textId="77777777" w:rsidR="00E31540" w:rsidRDefault="00DD4368">
      <w:r>
        <w:t>Подібний підхід дозволяє поліпшити упр</w:t>
      </w:r>
      <w:r>
        <w:t>авлінський облік на підприємстві, але ускладнює розрахунки, оскільки вони мають проводитись у реальному часі.</w:t>
      </w:r>
    </w:p>
    <w:p w14:paraId="1880C3BD" w14:textId="77777777" w:rsidR="00E31540" w:rsidRDefault="00DD4368">
      <w:r>
        <w:t>Приклад:</w:t>
      </w:r>
    </w:p>
    <w:p w14:paraId="1EE1DFE9" w14:textId="77777777" w:rsidR="00E31540" w:rsidRDefault="00DD4368">
      <w:r>
        <w:t>Розглянемо систему ERP. В умовах України, у разі успішного впровадження такої системи, можливі наступні варіанти:</w:t>
      </w:r>
    </w:p>
    <w:p w14:paraId="5A57C242" w14:textId="77777777" w:rsidR="00E31540" w:rsidRDefault="00DD4368">
      <w:pPr>
        <w:numPr>
          <w:ilvl w:val="0"/>
          <w:numId w:val="2"/>
        </w:numPr>
      </w:pPr>
      <w:r>
        <w:t>Система використовуєтьс</w:t>
      </w:r>
      <w:r>
        <w:t>я для автоматизації бухобліку</w:t>
      </w:r>
    </w:p>
    <w:p w14:paraId="73C432B8" w14:textId="77777777" w:rsidR="00E31540" w:rsidRDefault="00DD4368">
      <w:pPr>
        <w:numPr>
          <w:ilvl w:val="0"/>
          <w:numId w:val="2"/>
        </w:numPr>
        <w:jc w:val="both"/>
      </w:pPr>
      <w:r>
        <w:t>Система використовується для автоматизації керування матеріальними потоками підприємства.</w:t>
      </w:r>
    </w:p>
    <w:p w14:paraId="48DAA764" w14:textId="77777777" w:rsidR="00E31540" w:rsidRDefault="00DD4368">
      <w:pPr>
        <w:jc w:val="both"/>
      </w:pPr>
      <w:r>
        <w:t>В обох випадках усі витрати (на закупівлю обладнання, на закупівлю ліцензій, на консалтинг та ін.) будуть рівними. Різні лише витрати на</w:t>
      </w:r>
      <w:r>
        <w:t xml:space="preserve"> простої та технічну підтримку. Оскільки бухгалтерський облік не безпосередньо впливає на діяльність підприємства, а планування закупівель є частиною ланцюга створення вартості підприємства, істотно відрізнятимуться ціна простоїв у першому та другому випад</w:t>
      </w:r>
      <w:r>
        <w:t>ках.</w:t>
      </w:r>
    </w:p>
    <w:p w14:paraId="07548C8F" w14:textId="77777777" w:rsidR="00E31540" w:rsidRDefault="00DD4368">
      <w:pPr>
        <w:jc w:val="both"/>
      </w:pPr>
      <w:r>
        <w:t>Якщо система використовується для отримання бухгалтерської звітності, при збої можна отримати подібні документи в інший спосіб, наприклад, за допомогою електронних таблиць. Тоді втрати можуть бути зведені до підвищення зарплати працівників бухгалтерії</w:t>
      </w:r>
      <w:r>
        <w:t>.</w:t>
      </w:r>
    </w:p>
    <w:p w14:paraId="51A10CA2" w14:textId="77777777" w:rsidR="00E31540" w:rsidRDefault="00DD4368">
      <w:r>
        <w:t>Якщо система використовується для планування матеріальних запасів,</w:t>
      </w:r>
    </w:p>
    <w:p w14:paraId="2A6E9605" w14:textId="77777777" w:rsidR="00E31540" w:rsidRDefault="00DD4368">
      <w:r>
        <w:t>Оптимізаційні моделі поза цією системою продублювати неможливо, втрати можуть становити до 100% обороту підприємства.</w:t>
      </w:r>
    </w:p>
    <w:p w14:paraId="6F7DF842" w14:textId="77777777" w:rsidR="00E31540" w:rsidRDefault="00DD4368">
      <w:pPr>
        <w:jc w:val="both"/>
      </w:pPr>
      <w:r>
        <w:t>Згідно з методикою розрахунку ТСО фірми Dell, витрати на адмініструва</w:t>
      </w:r>
      <w:r>
        <w:t>ння, технічну підтримку та втрати від оплачуваних простоїв становлять близько 60% ТСО.</w:t>
      </w:r>
    </w:p>
    <w:p w14:paraId="4EA9EFE4" w14:textId="77777777" w:rsidR="00E31540" w:rsidRDefault="00DD4368">
      <w:pPr>
        <w:pStyle w:val="a3"/>
        <w:jc w:val="both"/>
        <w:rPr>
          <w:sz w:val="24"/>
        </w:rPr>
      </w:pPr>
      <w:r>
        <w:rPr>
          <w:sz w:val="24"/>
        </w:rPr>
        <w:t>Таким чином, як об'єкт витрат ми використовуватимемо сервіси, які виробляє інформаційна служба із застосуванням інформаційної системи.</w:t>
      </w:r>
    </w:p>
    <w:p w14:paraId="6864D7AA" w14:textId="77777777" w:rsidR="00E31540" w:rsidRDefault="00E31540">
      <w:pPr>
        <w:rPr>
          <w:b/>
          <w:bCs/>
        </w:rPr>
      </w:pPr>
    </w:p>
    <w:p w14:paraId="7FB28CCA" w14:textId="77777777" w:rsidR="00E31540" w:rsidRDefault="00DD4368">
      <w:pPr>
        <w:rPr>
          <w:b/>
          <w:bCs/>
        </w:rPr>
      </w:pPr>
      <w:r>
        <w:rPr>
          <w:b/>
          <w:bCs/>
        </w:rPr>
        <w:t xml:space="preserve">Основні показники </w:t>
      </w:r>
      <w:r>
        <w:rPr>
          <w:b/>
          <w:bCs/>
        </w:rPr>
        <w:t>інформаційних сервісів.</w:t>
      </w:r>
    </w:p>
    <w:p w14:paraId="7FD02122" w14:textId="77777777" w:rsidR="00E31540" w:rsidRDefault="00DD4368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Доступність сервісу. Один і той самий сервіс може надаватися в різних режимах. Наприклад, якщо доступ до електронної пошти на підприємстві надається в режимі 5Х8, потрібен один черговий фахівець та один помічник. Якщо ця послуга має</w:t>
      </w:r>
      <w:r>
        <w:rPr>
          <w:sz w:val="24"/>
        </w:rPr>
        <w:t xml:space="preserve"> бути доступною в режимі 7Х24 необхідно 5 осіб, то витрати на заробітну плату зростають у 2,5 рази.</w:t>
      </w:r>
    </w:p>
    <w:p w14:paraId="6E940A03" w14:textId="77777777" w:rsidR="00E31540" w:rsidRDefault="00E31540">
      <w:pPr>
        <w:pStyle w:val="a3"/>
        <w:ind w:left="360"/>
        <w:jc w:val="both"/>
        <w:rPr>
          <w:sz w:val="24"/>
        </w:rPr>
      </w:pPr>
    </w:p>
    <w:p w14:paraId="40510E40" w14:textId="77777777" w:rsidR="00E31540" w:rsidRDefault="00DD4368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Рівень обслуговування. Підвищення рівня сервісу вимагає:</w:t>
      </w:r>
    </w:p>
    <w:p w14:paraId="009C7C27" w14:textId="77777777" w:rsidR="00E31540" w:rsidRDefault="00DD4368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Створення та управління складу запчастин та витратних матеріалів</w:t>
      </w:r>
    </w:p>
    <w:p w14:paraId="0E53A1EA" w14:textId="77777777" w:rsidR="00E31540" w:rsidRDefault="00DD4368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Розвитку інфраструктури – вдоскон</w:t>
      </w:r>
      <w:r>
        <w:rPr>
          <w:sz w:val="24"/>
        </w:rPr>
        <w:t>алення кабельної мережі, гарантованого електроживлення та ін.</w:t>
      </w:r>
    </w:p>
    <w:p w14:paraId="397734E6" w14:textId="77777777" w:rsidR="00E31540" w:rsidRDefault="00DD4368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Впровадження спец. засобів підвищення відмовостійкості;</w:t>
      </w:r>
    </w:p>
    <w:p w14:paraId="2D3524F3" w14:textId="77777777" w:rsidR="00E31540" w:rsidRDefault="00DD4368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Впровадження засобів віддаленого управління мережею, сервером та клієнтськими машинами;</w:t>
      </w:r>
    </w:p>
    <w:p w14:paraId="6AD741B6" w14:textId="77777777" w:rsidR="00E31540" w:rsidRDefault="00DD4368">
      <w:pPr>
        <w:pStyle w:val="a3"/>
        <w:ind w:left="360"/>
        <w:jc w:val="both"/>
        <w:rPr>
          <w:sz w:val="24"/>
        </w:rPr>
      </w:pPr>
      <w:r>
        <w:rPr>
          <w:sz w:val="24"/>
        </w:rPr>
        <w:t>Т.о. підвищення сервісу веде до підвищення ТСО.</w:t>
      </w:r>
    </w:p>
    <w:p w14:paraId="5F00CF3D" w14:textId="77777777" w:rsidR="00E31540" w:rsidRDefault="00E31540">
      <w:pPr>
        <w:pStyle w:val="a3"/>
        <w:ind w:left="360"/>
        <w:jc w:val="both"/>
        <w:rPr>
          <w:sz w:val="24"/>
        </w:rPr>
      </w:pPr>
    </w:p>
    <w:p w14:paraId="3D1B3532" w14:textId="77777777" w:rsidR="00E31540" w:rsidRDefault="00DD4368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родуктивність сервісу.</w:t>
      </w:r>
    </w:p>
    <w:p w14:paraId="57D4976E" w14:textId="77777777" w:rsidR="00E31540" w:rsidRDefault="00DD4368">
      <w:pPr>
        <w:pStyle w:val="a3"/>
        <w:ind w:left="360"/>
        <w:jc w:val="both"/>
        <w:rPr>
          <w:sz w:val="24"/>
        </w:rPr>
      </w:pPr>
      <w:r>
        <w:rPr>
          <w:sz w:val="24"/>
        </w:rPr>
        <w:t>Йдеться про продуктивність, у рамках виконуваних операцій: кількість документів, що вводяться в одиницю часу, середній час підготовки певного звіту тощо.</w:t>
      </w:r>
    </w:p>
    <w:p w14:paraId="11C22FC1" w14:textId="77777777" w:rsidR="00E31540" w:rsidRDefault="00E31540">
      <w:pPr>
        <w:pStyle w:val="a3"/>
        <w:ind w:left="360"/>
        <w:jc w:val="both"/>
        <w:rPr>
          <w:sz w:val="24"/>
        </w:rPr>
      </w:pPr>
    </w:p>
    <w:p w14:paraId="61AEBBF4" w14:textId="77777777" w:rsidR="00E31540" w:rsidRDefault="00DD4368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Наявність обхідного шляху.</w:t>
      </w:r>
    </w:p>
    <w:p w14:paraId="076D6C5E" w14:textId="77777777" w:rsidR="00E31540" w:rsidRDefault="00DD4368">
      <w:pPr>
        <w:pStyle w:val="a3"/>
        <w:jc w:val="both"/>
        <w:rPr>
          <w:sz w:val="24"/>
        </w:rPr>
      </w:pPr>
      <w:r>
        <w:rPr>
          <w:sz w:val="24"/>
        </w:rPr>
        <w:t>Наявність резервних серверів, каналів зв'язку тощо.</w:t>
      </w:r>
      <w:r>
        <w:rPr>
          <w:sz w:val="24"/>
        </w:rPr>
        <w:t xml:space="preserve"> дозволяє ІВ продовжувати роботу у разі форс-мажорних обставин. За наявності обхідного шляху втрати від простою дорівнюють витратам на експлуатацію резервних пристроїв + втрати бізнесу від зниження якості обслуговування</w:t>
      </w:r>
    </w:p>
    <w:p w14:paraId="0BE2F4C5" w14:textId="77777777" w:rsidR="00E31540" w:rsidRDefault="00E31540">
      <w:pPr>
        <w:jc w:val="both"/>
        <w:rPr>
          <w:lang w:val="uk-UA"/>
        </w:rPr>
      </w:pPr>
    </w:p>
    <w:p w14:paraId="1CD4D9E6" w14:textId="77777777" w:rsidR="00E31540" w:rsidRDefault="00DD4368">
      <w:pPr>
        <w:numPr>
          <w:ilvl w:val="0"/>
          <w:numId w:val="5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Функціонально-вартісна модель серві</w:t>
      </w:r>
      <w:r>
        <w:rPr>
          <w:b/>
          <w:bCs/>
          <w:i/>
          <w:iCs/>
        </w:rPr>
        <w:t>су ІВ.</w:t>
      </w:r>
    </w:p>
    <w:p w14:paraId="2CB8061A" w14:textId="77777777" w:rsidR="00E31540" w:rsidRDefault="00E31540">
      <w:pPr>
        <w:jc w:val="both"/>
        <w:rPr>
          <w:b/>
          <w:bCs/>
          <w:i/>
          <w:iCs/>
        </w:rPr>
      </w:pPr>
    </w:p>
    <w:p w14:paraId="2ACEDA1B" w14:textId="77777777" w:rsidR="00E31540" w:rsidRDefault="00DD4368">
      <w:pPr>
        <w:ind w:firstLine="540"/>
        <w:jc w:val="both"/>
      </w:pPr>
      <w:r>
        <w:t>Сервіс ІВ є складним економічним об'єктом, що використовує безліч різноманітних ресурсів. Кожен ресурс, своєю чергою, задіяний у багатьох різних сервісів.</w:t>
      </w:r>
    </w:p>
    <w:p w14:paraId="5C91FC4C" w14:textId="77777777" w:rsidR="00E31540" w:rsidRDefault="00DD4368">
      <w:pPr>
        <w:ind w:firstLine="540"/>
        <w:jc w:val="both"/>
      </w:pPr>
      <w:r>
        <w:t>Отже:</w:t>
      </w:r>
    </w:p>
    <w:p w14:paraId="6788DC2E" w14:textId="77777777" w:rsidR="00E31540" w:rsidRDefault="00DD4368">
      <w:pPr>
        <w:ind w:firstLine="540"/>
        <w:jc w:val="both"/>
      </w:pPr>
      <w:r>
        <w:t>Сервіс – це зовнішній сервіс, тобто послуга, яку інформаційна служба надає іншим підроз</w:t>
      </w:r>
      <w:r>
        <w:t>ділам підприємства</w:t>
      </w:r>
    </w:p>
    <w:p w14:paraId="0873B21F" w14:textId="77777777" w:rsidR="00E31540" w:rsidRDefault="00DD4368">
      <w:pPr>
        <w:ind w:firstLine="540"/>
        <w:jc w:val="both"/>
      </w:pPr>
      <w:r>
        <w:t>Функція – це внутрішній сервіс, тобто послуга, яку один підрозділ інформаційної служби надає іншому підрозділу ІВ.</w:t>
      </w:r>
    </w:p>
    <w:p w14:paraId="598507D5" w14:textId="77777777" w:rsidR="00E31540" w:rsidRDefault="00DD4368">
      <w:pPr>
        <w:ind w:firstLine="540"/>
        <w:jc w:val="both"/>
      </w:pPr>
      <w:r>
        <w:t xml:space="preserve">Ресурс – це персонал ІВ, обладнання, програмне забезпечення, телекомунікації, послуги консалтингу, послуги </w:t>
      </w:r>
      <w:r>
        <w:t>аутсорсингу тощо.</w:t>
      </w:r>
    </w:p>
    <w:p w14:paraId="5F8A5589" w14:textId="77777777" w:rsidR="00E31540" w:rsidRDefault="00DD4368">
      <w:pPr>
        <w:ind w:firstLine="540"/>
        <w:jc w:val="both"/>
      </w:pPr>
      <w:r>
        <w:t>Завдання Функціонально-Вартісного Аналізу (ФСА) полягає у розподілі вартості ресурсів по сервісах.</w:t>
      </w:r>
    </w:p>
    <w:p w14:paraId="59005CD5" w14:textId="77777777" w:rsidR="00E31540" w:rsidRDefault="00E31540"/>
    <w:p w14:paraId="7DF63F14" w14:textId="77777777" w:rsidR="00E31540" w:rsidRDefault="00DD4368">
      <w:r>
        <w:t>Побудова ф-с моделі:</w:t>
      </w:r>
    </w:p>
    <w:p w14:paraId="6ADECB17" w14:textId="77777777" w:rsidR="00E31540" w:rsidRDefault="00DD4368">
      <w:pPr>
        <w:numPr>
          <w:ilvl w:val="0"/>
          <w:numId w:val="6"/>
        </w:numPr>
      </w:pPr>
      <w:r>
        <w:t>До кожного сервісу визначається натуральний кількісний показник (наприклад сервісу введення бухгалтерських проводок –</w:t>
      </w:r>
      <w:r>
        <w:t xml:space="preserve"> кількість введених проводок, сервісу виробничого планування – розрахунок виробничого плану тощо.)</w:t>
      </w:r>
    </w:p>
    <w:p w14:paraId="00220FB2" w14:textId="77777777" w:rsidR="00E31540" w:rsidRDefault="00DD4368">
      <w:pPr>
        <w:numPr>
          <w:ilvl w:val="0"/>
          <w:numId w:val="6"/>
        </w:numPr>
      </w:pPr>
      <w:r>
        <w:t>До кожного сервісу визначаються його види діяльності (функції), а кожної функції – чинник інтенсивності(натуральний показник відбиває витрати j-го виду діяль</w:t>
      </w:r>
      <w:r>
        <w:t>ності на одиницю I-го виду сервісу). Наприклад 3 виклик спеціаліста для консультації користувачів при виконанні будь-якої задачі.</w:t>
      </w:r>
    </w:p>
    <w:p w14:paraId="35C0C727" w14:textId="77777777" w:rsidR="00E31540" w:rsidRDefault="00DD4368">
      <w:pPr>
        <w:numPr>
          <w:ilvl w:val="0"/>
          <w:numId w:val="6"/>
        </w:numPr>
      </w:pPr>
      <w:r>
        <w:t>До кожного виду діяльності визначаються його ресурси, а кожного ресурсу – чинник витрат ресурсу (нат. показник, характеризує к</w:t>
      </w:r>
      <w:r>
        <w:t>ількість k-го ресурсу на одиницю виконання j-го виду діяльності).</w:t>
      </w:r>
    </w:p>
    <w:p w14:paraId="3FA4F272" w14:textId="77777777" w:rsidR="00E31540" w:rsidRDefault="00DD4368">
      <w:pPr>
        <w:numPr>
          <w:ilvl w:val="0"/>
          <w:numId w:val="6"/>
        </w:numPr>
      </w:pPr>
      <w:r>
        <w:t>Для витрат, не пов'язаних з використанням ресурсів, таких як витрати від простоїв визначаються критичні показники. Наприклад, якщо під час виконання сервісу введення проводок, не введено 2-3</w:t>
      </w:r>
      <w:r>
        <w:t xml:space="preserve"> проводки, витрати оцінюються в 10$, а то й введено 100 проводок – втрати оцінюються в 1000$.</w:t>
      </w:r>
    </w:p>
    <w:p w14:paraId="35F5C805" w14:textId="77777777" w:rsidR="00E31540" w:rsidRDefault="00DD4368">
      <w:pPr>
        <w:numPr>
          <w:ilvl w:val="0"/>
          <w:numId w:val="6"/>
        </w:numPr>
      </w:pPr>
      <w:r>
        <w:rPr>
          <w:lang w:val="uk-UA"/>
        </w:rPr>
        <w:t>Визначаються кількісні показники:</w:t>
      </w:r>
    </w:p>
    <w:p w14:paraId="31074208" w14:textId="77777777" w:rsidR="00E31540" w:rsidRDefault="00E31540"/>
    <w:p w14:paraId="7E7CFB0E" w14:textId="77777777" w:rsidR="00E31540" w:rsidRDefault="00DD4368">
      <w:r>
        <w:rPr>
          <w:lang w:val="en-US"/>
        </w:rPr>
        <w:t>Aij – число одиниць чинника інтенсивності використання j-го виду під час виконання сервісу I</w:t>
      </w:r>
    </w:p>
    <w:p w14:paraId="1BB8333C" w14:textId="77777777" w:rsidR="00E31540" w:rsidRDefault="00DD4368">
      <w:r>
        <w:rPr>
          <w:lang w:val="en-US"/>
        </w:rPr>
        <w:t>Rjk - число одиниць фактора витрат</w:t>
      </w:r>
      <w:r>
        <w:rPr>
          <w:lang w:val="en-US"/>
        </w:rPr>
        <w:t xml:space="preserve"> k-го ресурсу, що витрачається при виконанні j-ї функції</w:t>
      </w:r>
    </w:p>
    <w:p w14:paraId="0492550D" w14:textId="77777777" w:rsidR="00E31540" w:rsidRDefault="00E31540">
      <w:pPr>
        <w:rPr>
          <w:lang w:val="uk-UA"/>
        </w:rPr>
      </w:pPr>
    </w:p>
    <w:p w14:paraId="7CD57570" w14:textId="77777777" w:rsidR="00E31540" w:rsidRDefault="00DD4368">
      <w:pPr>
        <w:numPr>
          <w:ilvl w:val="0"/>
          <w:numId w:val="6"/>
        </w:numPr>
      </w:pPr>
      <w:r>
        <w:rPr>
          <w:lang w:val="uk-UA"/>
        </w:rPr>
        <w:t>Визначається вартість одиниці кожного виду ресурсів</w:t>
      </w:r>
    </w:p>
    <w:p w14:paraId="24073FDA" w14:textId="77777777" w:rsidR="00E31540" w:rsidRDefault="00DD4368">
      <w:pPr>
        <w:numPr>
          <w:ilvl w:val="0"/>
          <w:numId w:val="6"/>
        </w:numPr>
      </w:pPr>
      <w:r>
        <w:t>Визначається вартість сервісу.</w:t>
      </w:r>
    </w:p>
    <w:p w14:paraId="452952E8" w14:textId="77777777" w:rsidR="00E31540" w:rsidRDefault="00DD4368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lit/>
                      <m:nor/>
                    </m:rPr>
                    <m:t>ij</m:t>
                  </m:r>
                </m:sub>
              </m:sSub>
            </m:e>
          </m:nary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w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lit/>
                      <m:nor/>
                    </m:rPr>
                    <m:t>jk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lit/>
                      <m:nor/>
                    </m:rPr>
                    <m:t>im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lit/>
                      <m:nor/>
                    </m:rPr>
                    <m:t>im</m:t>
                  </m:r>
                </m:sub>
              </m:sSub>
            </m:e>
          </m:nary>
        </m:oMath>
      </m:oMathPara>
    </w:p>
    <w:p w14:paraId="5D5E5769" w14:textId="77777777" w:rsidR="00E31540" w:rsidRDefault="00E31540"/>
    <w:p w14:paraId="074C3BC7" w14:textId="77777777" w:rsidR="00E31540" w:rsidRDefault="00DD4368">
      <w:r>
        <w:t>Vi – вартість сервісу</w:t>
      </w:r>
    </w:p>
    <w:p w14:paraId="129DF299" w14:textId="77777777" w:rsidR="00E31540" w:rsidRDefault="00DD4368">
      <w:pPr>
        <w:rPr>
          <w:vertAlign w:val="subscript"/>
        </w:rPr>
      </w:pPr>
      <w:r>
        <w:t xml:space="preserve">qi – число одиниць i - го сервісу, </w:t>
      </w:r>
      <w:r>
        <w:t>спожитих у період</w:t>
      </w:r>
    </w:p>
    <w:p w14:paraId="50709EFD" w14:textId="77777777" w:rsidR="00E31540" w:rsidRDefault="00DD4368">
      <w:r>
        <w:t>aij – кількість одиниць витрат j-го виду діяльності, необхідні виконання i-го сервісу</w:t>
      </w:r>
    </w:p>
    <w:p w14:paraId="0B902DB9" w14:textId="77777777" w:rsidR="00E31540" w:rsidRDefault="00DD4368">
      <w:r>
        <w:t>rjk – кількість одиниць k - го виду ресурсу, необхідні виконання j - го виду діяльності.</w:t>
      </w:r>
    </w:p>
    <w:p w14:paraId="3536D592" w14:textId="77777777" w:rsidR="00E31540" w:rsidRDefault="00DD4368">
      <w:r>
        <w:t>Ck – ціна одиниці k – го виду ресурсу</w:t>
      </w:r>
    </w:p>
    <w:p w14:paraId="13AC00D5" w14:textId="77777777" w:rsidR="00E31540" w:rsidRDefault="00DD4368">
      <w:r>
        <w:t>tim – час простою m –ї ка</w:t>
      </w:r>
      <w:r>
        <w:t>тегорії i-го сервісу</w:t>
      </w:r>
    </w:p>
    <w:p w14:paraId="48A8A719" w14:textId="77777777" w:rsidR="00E31540" w:rsidRDefault="00DD4368">
      <w:pPr>
        <w:rPr>
          <w:vertAlign w:val="subscript"/>
        </w:rPr>
      </w:pPr>
      <w:r>
        <w:t>lim - ціна простою m-ї категорії i-го сервісу</w:t>
      </w:r>
    </w:p>
    <w:p w14:paraId="091F3B02" w14:textId="77777777" w:rsidR="00E31540" w:rsidRDefault="00E31540">
      <w:pPr>
        <w:rPr>
          <w:b/>
          <w:bCs/>
          <w:vertAlign w:val="subscript"/>
          <w:lang w:val="uk-UA"/>
        </w:rPr>
      </w:pPr>
    </w:p>
    <w:p w14:paraId="0E2775CD" w14:textId="77777777" w:rsidR="00E31540" w:rsidRDefault="00DD4368">
      <w:pPr>
        <w:numPr>
          <w:ilvl w:val="0"/>
          <w:numId w:val="5"/>
        </w:numPr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Джерела даних визначення ТСО інформаційного сервісу.</w:t>
      </w:r>
    </w:p>
    <w:p w14:paraId="1ADEE42F" w14:textId="77777777" w:rsidR="00E31540" w:rsidRDefault="00DD4368">
      <w:r>
        <w:rPr>
          <w:lang w:val="uk-UA"/>
        </w:rPr>
        <w:t>Відповідно до моделі ITSM (лекція 1) інформаційна система виконує такі процеси, у яких застосовуються такі види діяльності.</w:t>
      </w:r>
    </w:p>
    <w:p w14:paraId="73E4A714" w14:textId="77777777" w:rsidR="00E31540" w:rsidRDefault="00E31540">
      <w:pPr>
        <w:rPr>
          <w:lang w:val="uk-UA"/>
        </w:rPr>
      </w:pPr>
    </w:p>
    <w:tbl>
      <w:tblPr>
        <w:tblW w:w="958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E31540" w14:paraId="1D2D31EB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976" w14:textId="77777777" w:rsidR="00E31540" w:rsidRDefault="00DD4368">
            <w:pPr>
              <w:pStyle w:val="1"/>
              <w:rPr>
                <w:b w:val="0"/>
                <w:b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  <w:lang w:val="ru-RU"/>
              </w:rPr>
              <w:t>Процес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CA0" w14:textId="77777777" w:rsidR="00E31540" w:rsidRDefault="00DD4368">
            <w:r>
              <w:t>Види діяльності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17EA" w14:textId="77777777" w:rsidR="00E31540" w:rsidRDefault="00DD4368">
            <w:r>
              <w:t>Натуральний показник інтенсивності виду (шт)</w:t>
            </w:r>
          </w:p>
        </w:tc>
      </w:tr>
      <w:tr w:rsidR="00E31540" w14:paraId="45E4DBDB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9E7" w14:textId="77777777" w:rsidR="00E31540" w:rsidRDefault="00DD4368">
            <w:r>
              <w:t>Управління споживачами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9255" w14:textId="77777777" w:rsidR="00E31540" w:rsidRDefault="00DD4368">
            <w:r>
              <w:t>Формулювання проблем бізнес користувачі</w:t>
            </w:r>
            <w:r>
              <w:t>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CAE8" w14:textId="77777777" w:rsidR="00E31540" w:rsidRDefault="00DD4368">
            <w:r>
              <w:t>Запит на планування сервісу</w:t>
            </w:r>
          </w:p>
        </w:tc>
      </w:tr>
      <w:tr w:rsidR="00E31540" w14:paraId="46A1925C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3586" w14:textId="77777777" w:rsidR="00E31540" w:rsidRDefault="00DD4368">
            <w:r>
              <w:t>Планування сервісів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521" w14:textId="77777777" w:rsidR="00E31540" w:rsidRDefault="00DD4368">
            <w:r>
              <w:t>Обробка запитів на планування сервісів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224" w14:textId="77777777" w:rsidR="00E31540" w:rsidRDefault="00DD4368">
            <w:r>
              <w:t>Запит на планування сервісів</w:t>
            </w:r>
          </w:p>
        </w:tc>
      </w:tr>
      <w:tr w:rsidR="00E31540" w14:paraId="29A1F440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A0D3" w14:textId="77777777" w:rsidR="00E31540" w:rsidRDefault="00E31540">
            <w:pPr>
              <w:snapToGrid w:val="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8A7C" w14:textId="77777777" w:rsidR="00E31540" w:rsidRDefault="00DD4368">
            <w:r>
              <w:t>Планування нових сервісів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63A1" w14:textId="77777777" w:rsidR="00E31540" w:rsidRDefault="00DD4368">
            <w:r>
              <w:t>Запит на специфікацію сервісу</w:t>
            </w:r>
          </w:p>
        </w:tc>
      </w:tr>
      <w:tr w:rsidR="00E31540" w14:paraId="7CA3EFAA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025" w14:textId="77777777" w:rsidR="00E31540" w:rsidRDefault="00DD4368">
            <w:r>
              <w:t>Управління якістю сервісу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2D91" w14:textId="77777777" w:rsidR="00E31540" w:rsidRDefault="00DD4368">
            <w:r>
              <w:t xml:space="preserve">Узгодження обсягу ресурсів під час </w:t>
            </w:r>
            <w:r>
              <w:t>створення чи впровадження сервісу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A27" w14:textId="77777777" w:rsidR="00E31540" w:rsidRDefault="00DD4368">
            <w:r>
              <w:t>Запит на специфікацію сервісу</w:t>
            </w:r>
          </w:p>
        </w:tc>
      </w:tr>
      <w:tr w:rsidR="00E31540" w14:paraId="7723D641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11F" w14:textId="77777777" w:rsidR="00E31540" w:rsidRDefault="00DD4368">
            <w:r>
              <w:t>Розробка та тестування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F8C" w14:textId="77777777" w:rsidR="00E31540" w:rsidRDefault="00DD4368">
            <w:r>
              <w:t>Розробка та тестування сервісу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1D2B" w14:textId="77777777" w:rsidR="00E31540" w:rsidRDefault="00DD4368">
            <w:r>
              <w:t>Специфікація сервісу</w:t>
            </w:r>
          </w:p>
        </w:tc>
      </w:tr>
      <w:tr w:rsidR="00E31540" w14:paraId="247141D3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8170" w14:textId="77777777" w:rsidR="00E31540" w:rsidRDefault="00DD4368">
            <w:r>
              <w:t>Передача сервісу у промислову експлуатацію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690B" w14:textId="77777777" w:rsidR="00E31540" w:rsidRDefault="00DD4368">
            <w:r>
              <w:t>Запуск сервісу у промислову експлуатацію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D684" w14:textId="77777777" w:rsidR="00E31540" w:rsidRDefault="00DD4368">
            <w:r>
              <w:t>Протокол прийому сервісу у пром</w:t>
            </w:r>
            <w:r>
              <w:t>ислову експлуатацію</w:t>
            </w:r>
          </w:p>
        </w:tc>
      </w:tr>
      <w:tr w:rsidR="00E31540" w14:paraId="09FDACD5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426" w14:textId="77777777" w:rsidR="00E31540" w:rsidRDefault="00DD4368">
            <w:r>
              <w:t>Управління інцидентами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2DFF" w14:textId="77777777" w:rsidR="00E31540" w:rsidRDefault="00DD4368">
            <w:r>
              <w:t>Реєстрація запитів користувачів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6175" w14:textId="77777777" w:rsidR="00E31540" w:rsidRDefault="00DD4368">
            <w:r>
              <w:t>Запит користувача</w:t>
            </w:r>
          </w:p>
        </w:tc>
      </w:tr>
      <w:tr w:rsidR="00E31540" w14:paraId="56E38C2A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2D6F" w14:textId="77777777" w:rsidR="00E31540" w:rsidRDefault="00E31540">
            <w:pPr>
              <w:snapToGrid w:val="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F529" w14:textId="77777777" w:rsidR="00E31540" w:rsidRDefault="00DD4368">
            <w:r>
              <w:t>Дозвіл інциденту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E6B5" w14:textId="77777777" w:rsidR="00E31540" w:rsidRDefault="00DD4368">
            <w:r>
              <w:t>Вбрання на роботу</w:t>
            </w:r>
          </w:p>
        </w:tc>
      </w:tr>
      <w:tr w:rsidR="00E31540" w14:paraId="2EFD3B1E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FC00" w14:textId="77777777" w:rsidR="00E31540" w:rsidRDefault="00DD4368">
            <w:r>
              <w:t>Управління проблемами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768C" w14:textId="77777777" w:rsidR="00E31540" w:rsidRDefault="00DD4368">
            <w:r>
              <w:t>Діагностика проблеми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E16" w14:textId="77777777" w:rsidR="00E31540" w:rsidRDefault="00DD4368">
            <w:r>
              <w:t>Проблема</w:t>
            </w:r>
          </w:p>
        </w:tc>
      </w:tr>
      <w:tr w:rsidR="00E31540" w14:paraId="023FBA13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C1BE" w14:textId="77777777" w:rsidR="00E31540" w:rsidRDefault="00E31540">
            <w:pPr>
              <w:snapToGrid w:val="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79AD" w14:textId="77777777" w:rsidR="00E31540" w:rsidRDefault="00DD4368">
            <w:r>
              <w:t>Вирішення проблеми шляхом зміни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D204" w14:textId="77777777" w:rsidR="00E31540" w:rsidRDefault="00DD4368">
            <w:r>
              <w:t>Запит на зміну</w:t>
            </w:r>
          </w:p>
        </w:tc>
      </w:tr>
      <w:tr w:rsidR="00E31540" w14:paraId="58D5515B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D7A" w14:textId="77777777" w:rsidR="00E31540" w:rsidRDefault="00E31540">
            <w:pPr>
              <w:snapToGrid w:val="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C277" w14:textId="77777777" w:rsidR="00E31540" w:rsidRDefault="00DD4368">
            <w:r>
              <w:t xml:space="preserve">Розробка </w:t>
            </w:r>
            <w:r>
              <w:t>обхідного шляху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245A" w14:textId="77777777" w:rsidR="00E31540" w:rsidRDefault="00DD4368">
            <w:r>
              <w:t>Обхідний шлях</w:t>
            </w:r>
          </w:p>
        </w:tc>
      </w:tr>
      <w:tr w:rsidR="00E31540" w14:paraId="3EF2BB90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6E6" w14:textId="77777777" w:rsidR="00E31540" w:rsidRDefault="00DD4368">
            <w:r>
              <w:t>Управління операціями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5C2E" w14:textId="77777777" w:rsidR="00E31540" w:rsidRDefault="00DD4368">
            <w:r>
              <w:t>Регламентні роботи, наприклад, резервне копіювання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426" w14:textId="77777777" w:rsidR="00E31540" w:rsidRDefault="00DD4368">
            <w:r>
              <w:t>Операція регламентних робіт</w:t>
            </w:r>
          </w:p>
        </w:tc>
      </w:tr>
    </w:tbl>
    <w:p w14:paraId="01126147" w14:textId="77777777" w:rsidR="00E31540" w:rsidRDefault="00E31540">
      <w:pPr>
        <w:rPr>
          <w:b/>
          <w:bCs/>
        </w:rPr>
      </w:pPr>
    </w:p>
    <w:p w14:paraId="392A8BBA" w14:textId="77777777" w:rsidR="00E31540" w:rsidRDefault="00E31540">
      <w:pPr>
        <w:rPr>
          <w:b/>
          <w:bCs/>
        </w:rPr>
      </w:pPr>
    </w:p>
    <w:p w14:paraId="303F3B7C" w14:textId="77777777" w:rsidR="00E31540" w:rsidRDefault="00DD4368">
      <w:pPr>
        <w:tabs>
          <w:tab w:val="left" w:pos="1290"/>
        </w:tabs>
      </w:pPr>
      <w:r>
        <w:t>Для виконання кожного із видів діяльності використовуються ресурси:</w:t>
      </w:r>
    </w:p>
    <w:tbl>
      <w:tblPr>
        <w:tblW w:w="947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90"/>
        <w:gridCol w:w="6288"/>
      </w:tblGrid>
      <w:tr w:rsidR="00E31540" w14:paraId="05547F3D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CBFB" w14:textId="77777777" w:rsidR="00E31540" w:rsidRDefault="00DD4368">
            <w:pPr>
              <w:tabs>
                <w:tab w:val="left" w:pos="129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Ресурс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E0C" w14:textId="77777777" w:rsidR="00E31540" w:rsidRDefault="00DD4368">
            <w:pPr>
              <w:tabs>
                <w:tab w:val="left" w:pos="129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Чинник витрат</w:t>
            </w:r>
          </w:p>
        </w:tc>
      </w:tr>
      <w:tr w:rsidR="00E31540" w14:paraId="35D29D85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893" w14:textId="77777777" w:rsidR="00E31540" w:rsidRDefault="00DD4368">
            <w:pPr>
              <w:tabs>
                <w:tab w:val="left" w:pos="1290"/>
              </w:tabs>
            </w:pPr>
            <w:r>
              <w:t>Персонал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8D6" w14:textId="77777777" w:rsidR="00E31540" w:rsidRDefault="00DD4368">
            <w:pPr>
              <w:tabs>
                <w:tab w:val="left" w:pos="1290"/>
              </w:tabs>
            </w:pPr>
            <w:r>
              <w:t>Робочий час</w:t>
            </w:r>
          </w:p>
        </w:tc>
      </w:tr>
      <w:tr w:rsidR="00E31540" w14:paraId="30774E95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BE7F" w14:textId="77777777" w:rsidR="00E31540" w:rsidRDefault="00DD4368">
            <w:pPr>
              <w:tabs>
                <w:tab w:val="left" w:pos="1290"/>
              </w:tabs>
            </w:pPr>
            <w:r>
              <w:t>Сервер, ПК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D68" w14:textId="77777777" w:rsidR="00E31540" w:rsidRDefault="00DD4368">
            <w:pPr>
              <w:tabs>
                <w:tab w:val="left" w:pos="1290"/>
              </w:tabs>
            </w:pPr>
            <w:r>
              <w:t>Відсоток завантаження процесора</w:t>
            </w:r>
          </w:p>
        </w:tc>
      </w:tr>
      <w:tr w:rsidR="00E31540" w14:paraId="4AD9339C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6EC3" w14:textId="77777777" w:rsidR="00E31540" w:rsidRDefault="00E31540">
            <w:pPr>
              <w:tabs>
                <w:tab w:val="left" w:pos="1290"/>
              </w:tabs>
              <w:snapToGrid w:val="0"/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175E" w14:textId="77777777" w:rsidR="00E31540" w:rsidRDefault="00DD4368">
            <w:pPr>
              <w:tabs>
                <w:tab w:val="left" w:pos="1290"/>
              </w:tabs>
            </w:pPr>
            <w:r>
              <w:t>Відсоток зайнятої ВП</w:t>
            </w:r>
          </w:p>
        </w:tc>
      </w:tr>
      <w:tr w:rsidR="00E31540" w14:paraId="363E677E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5F0" w14:textId="77777777" w:rsidR="00E31540" w:rsidRDefault="00E31540">
            <w:pPr>
              <w:tabs>
                <w:tab w:val="left" w:pos="1290"/>
              </w:tabs>
              <w:snapToGrid w:val="0"/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419" w14:textId="77777777" w:rsidR="00E31540" w:rsidRDefault="00DD4368">
            <w:pPr>
              <w:tabs>
                <w:tab w:val="left" w:pos="1290"/>
              </w:tabs>
            </w:pPr>
            <w:r>
              <w:t>Відсоток зайнятого дискового простору</w:t>
            </w:r>
          </w:p>
        </w:tc>
      </w:tr>
      <w:tr w:rsidR="00E31540" w14:paraId="0E407239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2065" w14:textId="77777777" w:rsidR="00E31540" w:rsidRDefault="00DD4368">
            <w:pPr>
              <w:tabs>
                <w:tab w:val="left" w:pos="1290"/>
              </w:tabs>
            </w:pPr>
            <w:r>
              <w:t>Запам'ятовуючий пристрій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171" w14:textId="77777777" w:rsidR="00E31540" w:rsidRDefault="00DD4368">
            <w:pPr>
              <w:tabs>
                <w:tab w:val="left" w:pos="1290"/>
              </w:tabs>
            </w:pPr>
            <w:r>
              <w:t>Відсоток зайнятої ємності пам'яті</w:t>
            </w:r>
          </w:p>
        </w:tc>
      </w:tr>
      <w:tr w:rsidR="00E31540" w14:paraId="32DA4F1E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A3D6" w14:textId="77777777" w:rsidR="00E31540" w:rsidRDefault="00E31540">
            <w:pPr>
              <w:tabs>
                <w:tab w:val="left" w:pos="1290"/>
              </w:tabs>
              <w:snapToGrid w:val="0"/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C3F" w14:textId="77777777" w:rsidR="00E31540" w:rsidRDefault="00DD4368">
            <w:pPr>
              <w:tabs>
                <w:tab w:val="left" w:pos="1290"/>
              </w:tabs>
            </w:pPr>
            <w:r>
              <w:t>Час роботи</w:t>
            </w:r>
          </w:p>
        </w:tc>
      </w:tr>
      <w:tr w:rsidR="00E31540" w14:paraId="3EA96DFC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10D4" w14:textId="77777777" w:rsidR="00E31540" w:rsidRDefault="00DD4368">
            <w:pPr>
              <w:tabs>
                <w:tab w:val="left" w:pos="1290"/>
              </w:tabs>
            </w:pPr>
            <w:r>
              <w:t>Активне мережеве обладнання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9A8B" w14:textId="77777777" w:rsidR="00E31540" w:rsidRDefault="00DD4368">
            <w:pPr>
              <w:tabs>
                <w:tab w:val="left" w:pos="1290"/>
              </w:tabs>
            </w:pPr>
            <w:r>
              <w:t>Відсоток пропускної спроможності</w:t>
            </w:r>
          </w:p>
        </w:tc>
      </w:tr>
      <w:tr w:rsidR="00E31540" w14:paraId="1B500506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2BD3" w14:textId="77777777" w:rsidR="00E31540" w:rsidRDefault="00DD4368">
            <w:pPr>
              <w:tabs>
                <w:tab w:val="left" w:pos="1290"/>
              </w:tabs>
            </w:pPr>
            <w:r>
              <w:t xml:space="preserve">Канал </w:t>
            </w:r>
            <w:r>
              <w:t>зв'язку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7E0" w14:textId="77777777" w:rsidR="00E31540" w:rsidRDefault="00DD4368">
            <w:pPr>
              <w:tabs>
                <w:tab w:val="left" w:pos="1290"/>
              </w:tabs>
            </w:pPr>
            <w:r>
              <w:t>Відсоток пропускної спроможності</w:t>
            </w:r>
          </w:p>
        </w:tc>
      </w:tr>
      <w:tr w:rsidR="00E31540" w14:paraId="5ADF28D9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76F1" w14:textId="77777777" w:rsidR="00E31540" w:rsidRDefault="00DD4368">
            <w:pPr>
              <w:tabs>
                <w:tab w:val="left" w:pos="1290"/>
              </w:tabs>
            </w:pPr>
            <w:r>
              <w:t>Прикладне програмне забезпечення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B7F" w14:textId="77777777" w:rsidR="00E31540" w:rsidRDefault="00DD4368">
            <w:pPr>
              <w:tabs>
                <w:tab w:val="left" w:pos="1290"/>
              </w:tabs>
            </w:pPr>
            <w:r>
              <w:t>Відсоток ліцензій</w:t>
            </w:r>
          </w:p>
        </w:tc>
      </w:tr>
      <w:tr w:rsidR="00E31540" w14:paraId="275DEF32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223" w14:textId="77777777" w:rsidR="00E31540" w:rsidRDefault="00E31540">
            <w:pPr>
              <w:tabs>
                <w:tab w:val="left" w:pos="1290"/>
              </w:tabs>
              <w:snapToGrid w:val="0"/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F25F" w14:textId="77777777" w:rsidR="00E31540" w:rsidRDefault="00DD4368">
            <w:pPr>
              <w:tabs>
                <w:tab w:val="left" w:pos="1290"/>
              </w:tabs>
            </w:pPr>
            <w:r>
              <w:t>Відсоток одночасних з'єднань</w:t>
            </w:r>
          </w:p>
        </w:tc>
      </w:tr>
      <w:tr w:rsidR="00E31540" w14:paraId="1A33CEED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0BFB" w14:textId="77777777" w:rsidR="00E31540" w:rsidRDefault="00E31540">
            <w:pPr>
              <w:tabs>
                <w:tab w:val="left" w:pos="1290"/>
              </w:tabs>
              <w:snapToGrid w:val="0"/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C94" w14:textId="77777777" w:rsidR="00E31540" w:rsidRDefault="00DD4368">
            <w:pPr>
              <w:tabs>
                <w:tab w:val="left" w:pos="1290"/>
              </w:tabs>
            </w:pPr>
            <w:r>
              <w:t>Відсоток зайнятих ресурсів апаратних засобів чи системного ПЗ</w:t>
            </w:r>
          </w:p>
        </w:tc>
      </w:tr>
      <w:tr w:rsidR="00E31540" w14:paraId="317C4DAA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6AC" w14:textId="77777777" w:rsidR="00E31540" w:rsidRDefault="00DD4368">
            <w:pPr>
              <w:tabs>
                <w:tab w:val="left" w:pos="1290"/>
              </w:tabs>
            </w:pPr>
            <w:r>
              <w:t>Системне ПЗ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86C0" w14:textId="77777777" w:rsidR="00E31540" w:rsidRDefault="00DD4368">
            <w:pPr>
              <w:tabs>
                <w:tab w:val="left" w:pos="1290"/>
              </w:tabs>
            </w:pPr>
            <w:r>
              <w:t>Відсоток зайнятих системних ресурсів</w:t>
            </w:r>
          </w:p>
        </w:tc>
      </w:tr>
      <w:tr w:rsidR="00E31540" w14:paraId="74FA07C0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4B67" w14:textId="77777777" w:rsidR="00E31540" w:rsidRDefault="00DD4368">
            <w:pPr>
              <w:tabs>
                <w:tab w:val="left" w:pos="1290"/>
              </w:tabs>
            </w:pPr>
            <w:r>
              <w:t>Канал зв'язку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5D53" w14:textId="77777777" w:rsidR="00E31540" w:rsidRDefault="00DD4368">
            <w:pPr>
              <w:tabs>
                <w:tab w:val="left" w:pos="1290"/>
              </w:tabs>
            </w:pPr>
            <w:r>
              <w:t>Від</w:t>
            </w:r>
            <w:r>
              <w:t>соток завантаження</w:t>
            </w:r>
          </w:p>
        </w:tc>
      </w:tr>
      <w:tr w:rsidR="00E31540" w14:paraId="1E890C26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3F58" w14:textId="77777777" w:rsidR="00E31540" w:rsidRDefault="00E31540">
            <w:pPr>
              <w:tabs>
                <w:tab w:val="left" w:pos="1290"/>
              </w:tabs>
              <w:snapToGrid w:val="0"/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0B4" w14:textId="77777777" w:rsidR="00E31540" w:rsidRDefault="00DD4368">
            <w:pPr>
              <w:tabs>
                <w:tab w:val="left" w:pos="1290"/>
              </w:tabs>
            </w:pPr>
            <w:r>
              <w:t>Трафік та інші фактори ціноутворення</w:t>
            </w:r>
          </w:p>
        </w:tc>
      </w:tr>
      <w:tr w:rsidR="00E31540" w14:paraId="6F7AABE1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D0B8" w14:textId="77777777" w:rsidR="00E31540" w:rsidRDefault="00DD4368">
            <w:pPr>
              <w:tabs>
                <w:tab w:val="left" w:pos="1290"/>
              </w:tabs>
            </w:pPr>
            <w:r>
              <w:t>Запасні частини та витратні матеріали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DE30" w14:textId="77777777" w:rsidR="00E31540" w:rsidRDefault="00DD4368">
            <w:pPr>
              <w:tabs>
                <w:tab w:val="left" w:pos="1290"/>
              </w:tabs>
            </w:pPr>
            <w:r>
              <w:t>Шт та інші одиниці</w:t>
            </w:r>
          </w:p>
        </w:tc>
      </w:tr>
      <w:tr w:rsidR="00E31540" w14:paraId="62265B21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CBC7" w14:textId="77777777" w:rsidR="00E31540" w:rsidRDefault="00DD4368">
            <w:pPr>
              <w:tabs>
                <w:tab w:val="left" w:pos="1290"/>
              </w:tabs>
            </w:pPr>
            <w:r>
              <w:t>Послуга зв'язку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60A5" w14:textId="77777777" w:rsidR="00E31540" w:rsidRDefault="00DD4368">
            <w:pPr>
              <w:tabs>
                <w:tab w:val="left" w:pos="1290"/>
              </w:tabs>
            </w:pPr>
            <w:r>
              <w:t>Трафік, час роботи</w:t>
            </w:r>
          </w:p>
        </w:tc>
      </w:tr>
      <w:tr w:rsidR="00E31540" w14:paraId="5C26ABCB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BE0" w14:textId="77777777" w:rsidR="00E31540" w:rsidRDefault="00DD4368">
            <w:pPr>
              <w:tabs>
                <w:tab w:val="left" w:pos="1290"/>
              </w:tabs>
            </w:pPr>
            <w:r>
              <w:t>Зовнішня послуга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06E0" w14:textId="77777777" w:rsidR="00E31540" w:rsidRDefault="00DD4368">
            <w:pPr>
              <w:tabs>
                <w:tab w:val="left" w:pos="1290"/>
              </w:tabs>
            </w:pPr>
            <w:r>
              <w:t>Робочий час, інші фактори ціноутворення.</w:t>
            </w:r>
          </w:p>
        </w:tc>
      </w:tr>
    </w:tbl>
    <w:p w14:paraId="52998494" w14:textId="77777777" w:rsidR="00E31540" w:rsidRDefault="00E31540">
      <w:pPr>
        <w:tabs>
          <w:tab w:val="left" w:pos="1290"/>
        </w:tabs>
      </w:pPr>
    </w:p>
    <w:p w14:paraId="668008F1" w14:textId="77777777" w:rsidR="00E31540" w:rsidRDefault="00E31540">
      <w:pPr>
        <w:tabs>
          <w:tab w:val="left" w:pos="1290"/>
        </w:tabs>
      </w:pPr>
    </w:p>
    <w:sectPr w:rsidR="00E3154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627"/>
    <w:multiLevelType w:val="multilevel"/>
    <w:tmpl w:val="D9F6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D6730B"/>
    <w:multiLevelType w:val="multilevel"/>
    <w:tmpl w:val="6EDA0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74BBE"/>
    <w:multiLevelType w:val="multilevel"/>
    <w:tmpl w:val="D6E6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3E03F8"/>
    <w:multiLevelType w:val="multilevel"/>
    <w:tmpl w:val="C09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76897"/>
    <w:multiLevelType w:val="multilevel"/>
    <w:tmpl w:val="92D0C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BC6779"/>
    <w:multiLevelType w:val="multilevel"/>
    <w:tmpl w:val="D02E08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3B618E"/>
    <w:multiLevelType w:val="multilevel"/>
    <w:tmpl w:val="9168B46A"/>
    <w:lvl w:ilvl="0">
      <w:start w:val="1"/>
      <w:numFmt w:val="bullet"/>
      <w:lvlText w:val=""/>
      <w:lvlJc w:val="left"/>
      <w:pPr>
        <w:tabs>
          <w:tab w:val="num" w:pos="833"/>
        </w:tabs>
        <w:ind w:left="70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40"/>
    <w:rsid w:val="00DD4368"/>
    <w:rsid w:val="00E3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ADBF"/>
  <w15:docId w15:val="{5FC18424-E83B-429C-88E8-D890B5F4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  <w:sz w:val="20"/>
      <w:lang w:val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Pr>
      <w:sz w:val="28"/>
    </w:r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5243</Words>
  <Characters>2990</Characters>
  <Application>Microsoft Office Word</Application>
  <DocSecurity>0</DocSecurity>
  <Lines>24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CyberFan</cp:lastModifiedBy>
  <cp:revision>2</cp:revision>
  <dcterms:created xsi:type="dcterms:W3CDTF">2023-01-04T22:14:00Z</dcterms:created>
  <dcterms:modified xsi:type="dcterms:W3CDTF">2023-01-04T22:14:00Z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2004-10-06T14:00:00Z</dcterms:created>
  <dc:creator>home</dc:creator>
  <dc:description/>
  <cp:keywords> </cp:keywords>
  <dc:language>en-US</dc:language>
  <cp:lastModifiedBy>BigFast</cp:lastModifiedBy>
  <dcterms:modified xsi:type="dcterms:W3CDTF">2016-11-21T16:44:00Z</dcterms:modified>
  <cp:revision>14</cp:revision>
  <dc:subject/>
  <dc:title/>
</cp:coreProperties>
</file>