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F3" w:rsidRDefault="005768F3" w:rsidP="005768F3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ЛІФТИ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Ліфт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(</w:t>
      </w:r>
      <w:hyperlink r:id="rId5" w:tooltip="Англійська мова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англ.</w:t>
        </w:r>
      </w:hyperlink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</w:t>
      </w:r>
      <w:proofErr w:type="spellStart"/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lift</w:t>
      </w:r>
      <w:proofErr w:type="spellEnd"/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— «підйомник», 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to</w:t>
      </w:r>
      <w:proofErr w:type="spellEnd"/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lift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— «підіймати»)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— технічна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hyperlink r:id="rId6" w:tooltip="Споруда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споруда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зі спеціальною кабіною для вертикального переміщення людей або вантажів у спеціальних кабінах (клітках), що рухаються в жорстких </w:t>
      </w:r>
      <w:hyperlink r:id="rId7" w:tooltip="Напрямні опори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напрямних пристроях</w:t>
        </w:r>
      </w:hyperlink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276085" cy="2651760"/>
            <wp:effectExtent l="19050" t="0" r="0" b="0"/>
            <wp:docPr id="34" name="Рисунок 34" descr="https://upload.wikimedia.org/wikipedia/commons/thumb/9/97/Alter_Elbtunel%2C_Hamburg_%2815148919050%29.jpg/350px-Alter_Elbtunel%2C_Hamburg_%281514891905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pload.wikimedia.org/wikipedia/commons/thumb/9/97/Alter_Elbtunel%2C_Hamburg_%2815148919050%29.jpg/350px-Alter_Elbtunel%2C_Hamburg_%2815148919050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8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17770" cy="2674620"/>
            <wp:effectExtent l="19050" t="0" r="1780" b="0"/>
            <wp:docPr id="37" name="Рисунок 37" descr="Картинки по запросу &quot;ліф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&quot;ліфт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7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F3" w:rsidRDefault="005768F3" w:rsidP="00576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</w:p>
    <w:p w:rsidR="005768F3" w:rsidRDefault="005768F3" w:rsidP="00576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373630" cy="4635996"/>
            <wp:effectExtent l="19050" t="0" r="7620" b="0"/>
            <wp:docPr id="40" name="Рисунок 40" descr="вантажний ліфт або підйом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антажний ліфт або підйомни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63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F3" w:rsidRDefault="005768F3" w:rsidP="00576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</w:p>
    <w:p w:rsidR="005768F3" w:rsidRPr="00B40FD2" w:rsidRDefault="005768F3" w:rsidP="00576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  <w:t>За призначенням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:</w:t>
      </w:r>
    </w:p>
    <w:p w:rsidR="005768F3" w:rsidRPr="00B40FD2" w:rsidRDefault="005768F3" w:rsidP="005768F3">
      <w:pPr>
        <w:numPr>
          <w:ilvl w:val="0"/>
          <w:numId w:val="1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Пасажирські ліфти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перевезення людей. Також допускається перевезення вантажів, якщо загальна маса пасажирів з вантажем не перевищить вантажопідйомності ліфта.</w:t>
      </w:r>
    </w:p>
    <w:p w:rsidR="005768F3" w:rsidRPr="00B40FD2" w:rsidRDefault="005768F3" w:rsidP="005768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Лікарняні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Ліфти для лікувально-профілактичних установ. Використовуються для транспортування хворих, в тому числі на лікарняних транспортних засобах (</w:t>
      </w:r>
      <w:proofErr w:type="spellStart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каталках</w:t>
      </w:r>
      <w:proofErr w:type="spellEnd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, інвалідних візках) в супроводі персоналу (як правило, ліфтером).</w:t>
      </w:r>
    </w:p>
    <w:p w:rsidR="005768F3" w:rsidRPr="00B40FD2" w:rsidRDefault="005768F3" w:rsidP="005768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Вантажопасажирські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Для транспортування людей та вантажів. Має збільшену площу підлоги і розмір дверей.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</w:p>
    <w:p w:rsidR="005768F3" w:rsidRPr="00B40FD2" w:rsidRDefault="005768F3" w:rsidP="005768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вантажів, матеріалів та устаткування.</w:t>
      </w:r>
      <w:hyperlink r:id="rId11" w:anchor="cite_note-2" w:history="1">
        <w:r w:rsidRPr="00B528BF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uk-UA"/>
          </w:rPr>
          <w:t>[2]</w:t>
        </w:r>
      </w:hyperlink>
    </w:p>
    <w:p w:rsidR="005768F3" w:rsidRPr="00B40FD2" w:rsidRDefault="005768F3" w:rsidP="005768F3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з провідником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вантажів та осіб, що їх супроводжують.</w:t>
      </w:r>
    </w:p>
    <w:p w:rsidR="005768F3" w:rsidRPr="00B40FD2" w:rsidRDefault="005768F3" w:rsidP="005768F3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без провідника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тільки вантажів. Обладнуються зовнішнім управлінням, переміщення людей в цих ліфтах не допускається.</w:t>
      </w:r>
    </w:p>
    <w:p w:rsidR="005768F3" w:rsidRPr="00B40FD2" w:rsidRDefault="005768F3" w:rsidP="005768F3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малі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Використовуються переважно в ресторанах і кафе (для підіймання продуктів харчування), бібліотеках, складах тощо. Вантажопідйомність, як правило, від 5 до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25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0 кг. Підіймання людей на них категорично заборонено.</w:t>
      </w:r>
    </w:p>
    <w:p w:rsidR="005768F3" w:rsidRPr="00B40FD2" w:rsidRDefault="005768F3" w:rsidP="005768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lastRenderedPageBreak/>
        <w:t>Промислові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Для встановлення в будівлях з запиленим, що містить агресивні гази, </w:t>
      </w:r>
      <w:proofErr w:type="spellStart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вибухо-</w:t>
      </w:r>
      <w:proofErr w:type="spellEnd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і </w:t>
      </w:r>
      <w:proofErr w:type="spellStart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пожежонебезпечним</w:t>
      </w:r>
      <w:proofErr w:type="spellEnd"/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навколишнім середовищем та для небезпечних виробництв.</w:t>
      </w:r>
    </w:p>
    <w:p w:rsidR="005768F3" w:rsidRPr="00B528BF" w:rsidRDefault="005768F3" w:rsidP="00576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B528BF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 xml:space="preserve">За </w:t>
      </w:r>
      <w:proofErr w:type="spellStart"/>
      <w:r w:rsidRPr="00B528BF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>конструкцією</w:t>
      </w:r>
      <w:proofErr w:type="spellEnd"/>
      <w:r w:rsidRPr="00B528BF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 xml:space="preserve"> привода</w:t>
      </w:r>
      <w:r w:rsidRPr="00B528BF">
        <w:rPr>
          <w:rFonts w:ascii="Times New Roman" w:eastAsia="Times New Roman" w:hAnsi="Times New Roman" w:cs="Times New Roman"/>
          <w:color w:val="202122"/>
          <w:sz w:val="28"/>
          <w:szCs w:val="28"/>
        </w:rPr>
        <w:t>:</w:t>
      </w:r>
    </w:p>
    <w:p w:rsidR="005768F3" w:rsidRPr="00B528BF" w:rsidRDefault="005768F3" w:rsidP="005768F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 електричним приводом:</w:t>
      </w:r>
    </w:p>
    <w:p w:rsidR="005768F3" w:rsidRPr="00B528BF" w:rsidRDefault="005768F3" w:rsidP="005768F3">
      <w:pPr>
        <w:numPr>
          <w:ilvl w:val="1"/>
          <w:numId w:val="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 барабанними лебідками. Мають жорстке з'єднання кабіни і противаги з барабаном.</w:t>
      </w:r>
    </w:p>
    <w:p w:rsidR="005768F3" w:rsidRPr="00B528BF" w:rsidRDefault="005768F3" w:rsidP="005768F3">
      <w:pPr>
        <w:numPr>
          <w:ilvl w:val="1"/>
          <w:numId w:val="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Лебідки з </w:t>
      </w:r>
      <w:proofErr w:type="spellStart"/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канатотяговим</w:t>
      </w:r>
      <w:proofErr w:type="spellEnd"/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шківом. Не мають жорсткого з'єднання кабіни і противаги з </w:t>
      </w:r>
      <w:proofErr w:type="spellStart"/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канатоведучим</w:t>
      </w:r>
      <w:proofErr w:type="spellEnd"/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шківом.</w:t>
      </w:r>
    </w:p>
    <w:p w:rsidR="005768F3" w:rsidRPr="00B528BF" w:rsidRDefault="005768F3" w:rsidP="005768F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 </w:t>
      </w:r>
      <w:hyperlink r:id="rId12" w:tooltip="Гідравліка" w:history="1">
        <w:r w:rsidRPr="00B528B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гідравлічним</w:t>
        </w:r>
      </w:hyperlink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 приводом.</w:t>
      </w:r>
    </w:p>
    <w:p w:rsidR="005768F3" w:rsidRDefault="005768F3" w:rsidP="005768F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 </w:t>
      </w:r>
      <w:hyperlink r:id="rId13" w:tooltip="Пневматика" w:history="1">
        <w:r w:rsidRPr="00B528B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пневматичним</w:t>
        </w:r>
      </w:hyperlink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 приводом.</w:t>
      </w:r>
    </w:p>
    <w:p w:rsidR="005768F3" w:rsidRPr="00B528BF" w:rsidRDefault="005768F3" w:rsidP="005768F3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Будова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Кабіна.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Перевозить пасажирів і / або інші вантажі. Зовні кабіни розташовані напрямні башмаки, що ковзають по напрямних шахти при русі кабіни і підтримують кабіну в вертикальному положенні, уловлюв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ачі для аварійної зупинки ліфта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двошвидкісних ліфтів або ліфтів з регульованою швидкістю приводу на кабіні встановлено датчик точної зупинки, який взаємодіє з магнітними шунтами на кожному поверсі. До кабіни зверху безпосередньо або через поліспаст з блоком прикріплені робочі канати підвіски. У вичавного ліфта канати підвіски проходять через шківи, закріплені під кабіною. На кабіні з автоматичним дверима встановлений привід дверей,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відчиняючий</w:t>
      </w:r>
      <w:proofErr w:type="spellEnd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замки дверей шахти і </w:t>
      </w:r>
      <w:proofErr w:type="spellStart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ючий</w:t>
      </w:r>
      <w:proofErr w:type="spellEnd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двері. Двері шахти власного приводу не мають.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Противага.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Врівноважує (в деяких варіантах дизайну - лише частково), силу тяжіння маси кабіни, іноді і частина маси номінального вантажу. Противаг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пов'язан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єдиними канатами підвіски з кабіною і лебідкою.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Засоби підвіски кабіни і противаги.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Використовуються сталеві дротяні канати. Останнім часом застосовуються і плоскі канати, що знижують рівень шуму під час роботи ліфта. Зазвичай канатів підвіски кілька, що йдуть паралельно, і що пов'язують противагу, лебідку і кабіну, а іноді ще й шахту (при їх закріпленні в шахті).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Лебідка.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силовою установкою. Існують лебідки редукторні з барабаном або </w:t>
      </w:r>
      <w:proofErr w:type="spellStart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канатоведучим</w:t>
      </w:r>
      <w:proofErr w:type="spellEnd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шківом і </w:t>
      </w:r>
      <w:proofErr w:type="spellStart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безредукторні</w:t>
      </w:r>
      <w:proofErr w:type="spellEnd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канатоведучим</w:t>
      </w:r>
      <w:proofErr w:type="spellEnd"/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шківом.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Шахта ліфта.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Повністю або частково обгороджене місце, що тягнеться від підлоги приямка до перекриття. У ній переміщається кабіна і, якщо є, противаг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. Вона обладнана направляючими кабіни і противаги, дверима посадочних майданчиків, буферами або упорами в приямку.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Уловлювачі.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Механічний пристрій для зупинки і утримання кабіни і / або противаги на напрямних в разі обриву, ослаблення натягу канатів підвіски або якщо швидкість кабіни (противаги) перевищує номінальну швидкість на заздалегідь встановлену величину. Між шк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вом обмежувача швидкості нагорі шахти (в машинному приміщенні) і натяжним пристроєм (блоком) на дні шахти (в приямку) натягнутий канат обмежувача швидкості (окремий сталевий канат, який не належить до підвіски), який з'єднаний з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уловлювачами на кабіні і рухається разом з нею, обертаючи обмежувач швидкості. При перевищенні швидкості руху кабіни вниз обмежувач швидкості зупиняє канат, і кабіна своєю вагою пускає в хід розташовані на ній уловлювачі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768F3" w:rsidRPr="00C9274A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Буфера.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Пристрої плавного уповільнення кабіни за межами нижнього розрахункового положення кабіни або противаги. Можуть бути поліуретановими, пружинного або масляного типу, в залежності від номінальної швидкості. Призначені для перетворення кінетичної енергії кабіни і / або противаги в теплову. Встанов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люються в приямок на дні шахти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Електричні пристрої.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Включають електричні пристрої безпеки і освітлення. Деякі бувають пов'язані з кабіною спеціальним кабелем.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Безпека регламентується документом 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>НПАОП 0.00-1.02-08 «Правила будови і безпечної експлуатації ліфтів»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68F3" w:rsidRPr="00606C83" w:rsidRDefault="005768F3" w:rsidP="00576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>Ці Правила   встановлюють  вимоги  до  будови,  виготовлення,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монтажу, налагодження, проведення технічного огляду та експертного обстеження,  експлуатації,  ремонту, реконструкції та модернізації ліфтів, підйомників та їх складових частин.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06C83">
        <w:rPr>
          <w:rFonts w:ascii="Times New Roman" w:hAnsi="Times New Roman" w:cs="Times New Roman"/>
          <w:sz w:val="28"/>
          <w:szCs w:val="28"/>
          <w:lang w:val="uk-UA"/>
        </w:rPr>
        <w:t>Дія  цих  Правил  не   поширюється   на   ліфти,   які установлені: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98"/>
      <w:bookmarkEnd w:id="0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а) в шахтах гірничої промисловості;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99"/>
      <w:bookmarkEnd w:id="1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б) на суднах та інших плавучих спорудах;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100"/>
      <w:bookmarkEnd w:id="2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в) на літаках та інших апаратах, які літають.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Правилах дані визначення: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Ліфт панорамний -  ліфт,  який  має  кабіну  і  шахту  з прозорою  огорожею,  призначений  для  огляду  пасажирами з кабіни навколишнього простору. 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109"/>
      <w:bookmarkEnd w:id="3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Ліфт  малий  вантажний  (службовий  ліфт  класу   V)   - постійний підіймальний пристрій,  що обслуговує визначені поверхи, має  кабіну,  доступ  людей  в  яку  неможливий через її розміри і конструктивне виконання (вантажопідйомність 250 кг,  площа підлоги </w:t>
      </w:r>
      <w:r w:rsidRPr="00606C83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кабіни не більше 1 </w:t>
      </w:r>
      <w:proofErr w:type="spellStart"/>
      <w:r w:rsidRPr="00606C8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06C83">
        <w:rPr>
          <w:rFonts w:ascii="Times New Roman" w:hAnsi="Times New Roman" w:cs="Times New Roman"/>
          <w:sz w:val="28"/>
          <w:szCs w:val="28"/>
          <w:lang w:val="uk-UA"/>
        </w:rPr>
        <w:t>, висота дверей шахти не більше 1250 мм).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Підйомник  </w:t>
      </w:r>
      <w:proofErr w:type="spellStart"/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багатокабінний</w:t>
      </w:r>
      <w:proofErr w:type="spellEnd"/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пасажирський  електричний 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стаціонарна    </w:t>
      </w:r>
      <w:proofErr w:type="spellStart"/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багатокабінна</w:t>
      </w:r>
      <w:proofErr w:type="spellEnd"/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машина  безперервної дії з електроприводом,  призначена для підіймання 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спускання  людей 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кабіні, вхід і вихід яких здійснюється під час її руху.  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8F3" w:rsidRPr="00606C83" w:rsidRDefault="005768F3" w:rsidP="005768F3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6C8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Небезпеки, пов'язані з експлуатацією ліфтів</w:t>
      </w:r>
    </w:p>
    <w:p w:rsidR="005768F3" w:rsidRPr="00606C83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118"/>
      <w:bookmarkEnd w:id="4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Основні види небезпек,  небезпечних ситуацій  та  небезпечних випадків,  що  можуть  виникнути  під  час нормальної експлуатації ліфтів  і   які   становлять   небезпеку   для   користувачів   та обслуговуючого персоналу: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119"/>
      <w:bookmarkEnd w:id="5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а) защемлення;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120"/>
      <w:bookmarkEnd w:id="6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б) здавлювання;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121"/>
      <w:bookmarkEnd w:id="7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в) падіння;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o122"/>
      <w:bookmarkEnd w:id="8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г) несанкціонована зупинка кабіни ліфта між поверхами;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123"/>
      <w:bookmarkEnd w:id="9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ґ) пожежа;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o124"/>
      <w:bookmarkEnd w:id="10"/>
      <w:r w:rsidRPr="00606C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д) </w:t>
      </w:r>
      <w:proofErr w:type="spellStart"/>
      <w:r w:rsidRPr="00606C83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удар</w:t>
      </w:r>
      <w:proofErr w:type="spellEnd"/>
      <w:r w:rsidRPr="00606C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o125"/>
      <w:bookmarkEnd w:id="11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е) вібрація;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126"/>
      <w:bookmarkEnd w:id="12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є) ушкодження матеріалу з причин: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o127"/>
      <w:bookmarkEnd w:id="13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- механічного ушкодження;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o128"/>
      <w:bookmarkEnd w:id="14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- зносу;</w:t>
      </w:r>
    </w:p>
    <w:p w:rsidR="005768F3" w:rsidRPr="00606C83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o129"/>
      <w:bookmarkEnd w:id="15"/>
      <w:r w:rsidRPr="00606C83">
        <w:rPr>
          <w:rFonts w:ascii="Times New Roman" w:hAnsi="Times New Roman" w:cs="Times New Roman"/>
          <w:sz w:val="28"/>
          <w:szCs w:val="28"/>
          <w:lang w:val="uk-UA"/>
        </w:rPr>
        <w:t xml:space="preserve">     - корозії. </w:t>
      </w:r>
    </w:p>
    <w:p w:rsidR="005768F3" w:rsidRPr="00722EDC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Ліфти поділяють на 6 класів: І, ІІ, ІІІ 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пасажирські,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вантажно-пасажирські, вантажні у супроводі людей,</w:t>
      </w:r>
      <w:r w:rsidRPr="00606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малі вантажні</w:t>
      </w:r>
    </w:p>
    <w:p w:rsidR="005768F3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>Точність  автоматичної   зупинки   кабіни   ліфта 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>експлуатаційних  режимах  роботи  не  повинна  бути  вище  і нижче поверхової площадки більш ніж  на  20  мм;  у  випадку  одночасної роботи дверей  кабіни  і  шахти ця величина може бути збільшена до 35 мм.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>Всі складові частини та механізми ліфта повинні  бути доступні для огляду та технічного обслуговування.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o155"/>
      <w:bookmarkEnd w:id="16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Конструкція ліфта  повинна  забезпечувати  можливість евакуації людей з кабіни обслуговуючим персоналом у разі зникнення електропостачання ліфта або у разі його несправності.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o156"/>
      <w:bookmarkEnd w:id="17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6.1.19. Конструкція  ліфта  повинна  забезпечувати можливість зняття кабіни (противаги) з уловлювачів.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o157"/>
      <w:bookmarkEnd w:id="18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6.1.20. Норми бракування щодо ланцюгів,  на яких підвішуються кабіна і противага,  і ланцюга обмежувача швидкості  вказуються  в технічній  документації виробника.  Норми бракування щодо стальних канатів наведені в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Правил.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>Не дозволяється перевезення в кабіні ліфта пасажирів і (або)  вантажів загальною масою,  яка перевищує вантажопідйомність ліфта.</w:t>
      </w:r>
    </w:p>
    <w:p w:rsidR="005768F3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o162"/>
      <w:bookmarkEnd w:id="19"/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6.2.2. У   ліфта   самостійного  користування  корисна  площа підлоги   кабіни   повинна   визначатись    залежно    від    його вантажопідйомності згідно з таблицями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19"/>
          <w:szCs w:val="19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19"/>
          <w:szCs w:val="19"/>
          <w:shd w:val="clear" w:color="auto" w:fill="FFFFFF"/>
        </w:rPr>
        <w:t>-------------------------------------------------------------------------------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|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Номінальне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</w:t>
      </w:r>
      <w:proofErr w:type="gram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Максимальна</w:t>
      </w:r>
      <w:proofErr w:type="gram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Номінальне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|Максимальна|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Номінальне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|Максимальна|</w:t>
      </w:r>
      <w:proofErr w:type="spellEnd"/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|навантаження,|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внутрішня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|навантаження,|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внутрішня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|навантаження,|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внутрішня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маса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, кг   | 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площа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маса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, кг   | 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площа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маса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, кг   | 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площа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|             |  </w:t>
      </w:r>
      <w:proofErr w:type="spellStart"/>
      <w:proofErr w:type="gram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</w:t>
      </w:r>
      <w:proofErr w:type="gram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ідлоги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|          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підлоги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|          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підлоги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|          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кабіни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,  |          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кабіни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,  |             |  </w:t>
      </w:r>
      <w:proofErr w:type="spell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кабіни</w:t>
      </w:r>
      <w:proofErr w:type="spell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,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        |   кв</w:t>
      </w:r>
      <w:proofErr w:type="gramStart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.м</w:t>
      </w:r>
      <w:proofErr w:type="gramEnd"/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 xml:space="preserve">    |             |   кв.м    |             |    кв.м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100     |    0,37   |    630      |   1,66    |     1125    |    2,65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180     |    0,58   |    675      |   1,75    |     1200    |    2,80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225     |    0,70   |    750      |   1,90    |     1250    |    2,90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300     |    0,90   |    800      |   2,00    |     1275    |    2,95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375     |    1,10   |    825      |   2,05    |     1350    |    3,10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400     |    1,17   |    900      |   2,20    |     1425    |    3,25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lastRenderedPageBreak/>
        <w:t>|     450     |    1,30   |    975      |   2,35    |     1500    |    3,40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525     |    1,45   |    1000     |   2,40    |     1600    |    3,56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600     |    1,60   |    1050     |   2,50    |     2000    |    4,20   |</w:t>
      </w:r>
    </w:p>
    <w:p w:rsidR="005768F3" w:rsidRPr="00F46A6C" w:rsidRDefault="005768F3" w:rsidP="005768F3">
      <w:pPr>
        <w:spacing w:after="0" w:line="240" w:lineRule="auto"/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|-------------+-----------+-------------+-----------+-------------+-----------|</w:t>
      </w:r>
    </w:p>
    <w:p w:rsidR="005768F3" w:rsidRPr="00F46A6C" w:rsidRDefault="005768F3" w:rsidP="005768F3">
      <w:pPr>
        <w:pBdr>
          <w:bottom w:val="single" w:sz="6" w:space="1" w:color="auto"/>
        </w:pBdr>
        <w:spacing w:after="0" w:line="240" w:lineRule="auto"/>
        <w:rPr>
          <w:rFonts w:ascii="Consolas" w:eastAsia="Times New Roman" w:hAnsi="Consolas" w:cs="Consolas"/>
          <w:color w:val="212529"/>
          <w:sz w:val="19"/>
          <w:szCs w:val="19"/>
          <w:shd w:val="clear" w:color="auto" w:fill="FFFFFF"/>
        </w:rPr>
      </w:pPr>
      <w:r w:rsidRPr="00F46A6C">
        <w:rPr>
          <w:rFonts w:ascii="Consolas" w:eastAsia="Times New Roman" w:hAnsi="Consolas" w:cs="Consolas"/>
          <w:color w:val="212529"/>
          <w:sz w:val="20"/>
          <w:szCs w:val="20"/>
          <w:shd w:val="clear" w:color="auto" w:fill="FFFFFF"/>
        </w:rPr>
        <w:t>|             |           |             |           |     2500    |    5,00</w:t>
      </w:r>
      <w:r w:rsidRPr="00F46A6C">
        <w:rPr>
          <w:rFonts w:ascii="Consolas" w:eastAsia="Times New Roman" w:hAnsi="Consolas" w:cs="Consolas"/>
          <w:color w:val="212529"/>
          <w:sz w:val="19"/>
          <w:szCs w:val="19"/>
          <w:shd w:val="clear" w:color="auto" w:fill="FFFFFF"/>
        </w:rPr>
        <w:t xml:space="preserve">   |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>У ліфта вантажопідйомністю понад 2500 кг на  кожні  додаткові 100   кг   максимальна  внутрішня  площа  підлоги  кабіни  повинна збільшуватися на 0,16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o193"/>
      <w:bookmarkEnd w:id="20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Корисну площу   підлоги   кабіни   для   проміжного  значення вантажопідйомності    ліфта    необхідно    визначати     лінійною інтерполяцією.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o194"/>
      <w:bookmarkEnd w:id="21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Для вантажопасажирських  ліфтів   з   гідравлічним   приводом внутрішня площа   кабіни   може  бути  більшою,  ніж  зазначено  в таблиці 1,  і не більшою,  ніж зазначено в таблиці 2,  залежно від номінальної швидкості. </w:t>
      </w:r>
    </w:p>
    <w:p w:rsidR="005768F3" w:rsidRPr="00C8784A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5768F3" w:rsidRPr="00C8784A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o195"/>
      <w:bookmarkEnd w:id="22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Таблиця 2 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bookmarkStart w:id="23" w:name="o196"/>
      <w:bookmarkEnd w:id="23"/>
      <w:r>
        <w:rPr>
          <w:rFonts w:ascii="Consolas" w:hAnsi="Consolas" w:cs="Consolas"/>
          <w:color w:val="212529"/>
          <w:sz w:val="19"/>
          <w:szCs w:val="19"/>
        </w:rPr>
        <w:t>-------------------------------------------------------------------------------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 xml:space="preserve">|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Номінальне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|</w:t>
      </w:r>
      <w:proofErr w:type="gramStart"/>
      <w:r>
        <w:rPr>
          <w:rFonts w:ascii="Consolas" w:hAnsi="Consolas" w:cs="Consolas"/>
          <w:color w:val="212529"/>
          <w:sz w:val="19"/>
          <w:szCs w:val="19"/>
        </w:rPr>
        <w:t>Максимальна</w:t>
      </w:r>
      <w:proofErr w:type="gramEnd"/>
      <w:r>
        <w:rPr>
          <w:rFonts w:ascii="Consolas" w:hAnsi="Consolas" w:cs="Consolas"/>
          <w:color w:val="212529"/>
          <w:sz w:val="19"/>
          <w:szCs w:val="19"/>
        </w:rPr>
        <w:t>|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Номінальне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|Максимальна|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Номінальне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|Максимальна|</w:t>
      </w:r>
      <w:proofErr w:type="spellEnd"/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proofErr w:type="spellStart"/>
      <w:r>
        <w:rPr>
          <w:rFonts w:ascii="Consolas" w:hAnsi="Consolas" w:cs="Consolas"/>
          <w:color w:val="212529"/>
          <w:sz w:val="19"/>
          <w:szCs w:val="19"/>
        </w:rPr>
        <w:t>|навантаження,|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внутрішня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|навантаження,|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внутрішня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|навантаження,|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внутрішня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 xml:space="preserve">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маса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, кг   | 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площа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маса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, кг   | 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площа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маса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, кг   | 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площа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 xml:space="preserve">|             |  </w:t>
      </w:r>
      <w:proofErr w:type="spellStart"/>
      <w:proofErr w:type="gramStart"/>
      <w:r>
        <w:rPr>
          <w:rFonts w:ascii="Consolas" w:hAnsi="Consolas" w:cs="Consolas"/>
          <w:color w:val="212529"/>
          <w:sz w:val="19"/>
          <w:szCs w:val="19"/>
        </w:rPr>
        <w:t>п</w:t>
      </w:r>
      <w:proofErr w:type="gramEnd"/>
      <w:r>
        <w:rPr>
          <w:rFonts w:ascii="Consolas" w:hAnsi="Consolas" w:cs="Consolas"/>
          <w:color w:val="212529"/>
          <w:sz w:val="19"/>
          <w:szCs w:val="19"/>
        </w:rPr>
        <w:t>ідлоги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|          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підлоги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|          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підлоги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 xml:space="preserve">|          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кабіни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,  |          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кабіни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 xml:space="preserve">,  |             |  </w:t>
      </w:r>
      <w:proofErr w:type="spellStart"/>
      <w:r>
        <w:rPr>
          <w:rFonts w:ascii="Consolas" w:hAnsi="Consolas" w:cs="Consolas"/>
          <w:color w:val="212529"/>
          <w:sz w:val="19"/>
          <w:szCs w:val="19"/>
        </w:rPr>
        <w:t>кабіни</w:t>
      </w:r>
      <w:proofErr w:type="spellEnd"/>
      <w:r>
        <w:rPr>
          <w:rFonts w:ascii="Consolas" w:hAnsi="Consolas" w:cs="Consolas"/>
          <w:color w:val="212529"/>
          <w:sz w:val="19"/>
          <w:szCs w:val="19"/>
        </w:rPr>
        <w:t>,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кв</w:t>
      </w:r>
      <w:proofErr w:type="gramStart"/>
      <w:r>
        <w:rPr>
          <w:rFonts w:ascii="Consolas" w:hAnsi="Consolas" w:cs="Consolas"/>
          <w:color w:val="212529"/>
          <w:sz w:val="19"/>
          <w:szCs w:val="19"/>
        </w:rPr>
        <w:t>.м</w:t>
      </w:r>
      <w:proofErr w:type="gramEnd"/>
      <w:r>
        <w:rPr>
          <w:rFonts w:ascii="Consolas" w:hAnsi="Consolas" w:cs="Consolas"/>
          <w:color w:val="212529"/>
          <w:sz w:val="19"/>
          <w:szCs w:val="19"/>
        </w:rPr>
        <w:t xml:space="preserve">    |             |   кв.м    |             |    кв.м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        |     630     |    2,42   |    1125     |    3,90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        |     675     |    2,56   |    1200     |    4,08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        |     750     |    2,80   |    1250     |    4,20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        |     800     |    2,96   |    1275     |    4,26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        |           |     825     |    3,04   |    1350     |    4,44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400     |   1,68    |     900     |    3,28   |    1425     |    4,62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450     |   1,84    |     975     |    3,52   |    1500     |    4,80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525     |   2,08    |     1000    |    3,60   |    1600     |    5,04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|-------------+-----------+-------------+-----------+-------------+-----------|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>|     600     |   2,32    |     1050    |    3,72   |             |           |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>
        <w:rPr>
          <w:rFonts w:ascii="Consolas" w:hAnsi="Consolas" w:cs="Consolas"/>
          <w:color w:val="212529"/>
          <w:sz w:val="19"/>
          <w:szCs w:val="19"/>
        </w:rPr>
        <w:t xml:space="preserve">------------------------------------------------------------------------------- </w:t>
      </w:r>
    </w:p>
    <w:p w:rsidR="005768F3" w:rsidRDefault="005768F3" w:rsidP="005768F3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</w:p>
    <w:p w:rsidR="005768F3" w:rsidRPr="00C8784A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o222"/>
      <w:bookmarkEnd w:id="24"/>
      <w:r>
        <w:rPr>
          <w:rFonts w:ascii="Consolas" w:hAnsi="Consolas" w:cs="Consolas"/>
          <w:color w:val="212529"/>
          <w:sz w:val="19"/>
          <w:szCs w:val="19"/>
        </w:rPr>
        <w:t xml:space="preserve">    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>Для ліфта вантажопідйомністю понад 1600 кг необхідно додавати 0,40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на кожні додаткові 100 кг.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o223"/>
      <w:bookmarkEnd w:id="25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Для проміжних   навантажень   площу    визначають    лінійною інтерполяцією.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o224"/>
      <w:bookmarkEnd w:id="26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6.2.3. Для  визначення  корисної  площі  підлоги  кабіни   не враховується площа,  яка перекривається однією з відчинених стулок обертально-розкривних  дверей,  і  не   зменшується   за   рахунок встановлення в кабіні поручнів та плінтусів.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o225"/>
      <w:bookmarkEnd w:id="27"/>
      <w:r w:rsidRPr="00C878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6.2.4. Для визначення місткості  кабіни  пасажирського  ліфта маса однієї людини приймається на рівні 75 кг.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o226"/>
      <w:bookmarkEnd w:id="28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Місткість кабіни     визначається      діленням      величини вантажопідйомності   ліфта   на   75,   з  округленням  одержаного результату до більшого цілого числа.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4A">
        <w:rPr>
          <w:rFonts w:ascii="Times New Roman" w:hAnsi="Times New Roman" w:cs="Times New Roman"/>
          <w:sz w:val="28"/>
          <w:szCs w:val="28"/>
          <w:lang w:val="uk-UA"/>
        </w:rPr>
        <w:t>У ліфтах класу III (для установ  охорони  здоров'я)  і ліфтів  вантажопасажирських  класу IV дозволяється транспортування пасажирів тільки в супроводі ліфтера.</w:t>
      </w:r>
    </w:p>
    <w:p w:rsidR="005768F3" w:rsidRPr="00C8784A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o231"/>
      <w:bookmarkEnd w:id="29"/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    Якщо ліфти  класів III та IV відповідають вимогам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>Правил, які   пред'являються   до   пасажирського    ліфта    самостійного користування,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дозволяється транспортування пасажирів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C8784A">
        <w:rPr>
          <w:rFonts w:ascii="Times New Roman" w:hAnsi="Times New Roman" w:cs="Times New Roman"/>
          <w:sz w:val="28"/>
          <w:szCs w:val="28"/>
          <w:lang w:val="uk-UA"/>
        </w:rPr>
        <w:t xml:space="preserve"> ліфтера.</w:t>
      </w:r>
    </w:p>
    <w:p w:rsidR="005768F3" w:rsidRPr="004C2837" w:rsidRDefault="005768F3" w:rsidP="005768F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4C2837">
        <w:rPr>
          <w:rFonts w:ascii="Times New Roman" w:hAnsi="Times New Roman" w:cs="Times New Roman"/>
          <w:sz w:val="28"/>
          <w:szCs w:val="28"/>
          <w:lang w:val="uk-UA"/>
        </w:rPr>
        <w:t>У ліфтах з зовнішнім керуванням транспортування  людей не дозволяється.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o235"/>
      <w:bookmarkEnd w:id="30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6.2.9. У  разі   перевезення   в   ліфті   вибухонебезпечних, </w:t>
      </w:r>
      <w:proofErr w:type="spellStart"/>
      <w:r w:rsidRPr="004C2837">
        <w:rPr>
          <w:rFonts w:ascii="Times New Roman" w:hAnsi="Times New Roman" w:cs="Times New Roman"/>
          <w:sz w:val="28"/>
          <w:szCs w:val="28"/>
          <w:lang w:val="uk-UA"/>
        </w:rPr>
        <w:t>пожежонебезпечних</w:t>
      </w:r>
      <w:proofErr w:type="spellEnd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proofErr w:type="spellStart"/>
      <w:r w:rsidRPr="004C2837">
        <w:rPr>
          <w:rFonts w:ascii="Times New Roman" w:hAnsi="Times New Roman" w:cs="Times New Roman"/>
          <w:sz w:val="28"/>
          <w:szCs w:val="28"/>
          <w:lang w:val="uk-UA"/>
        </w:rPr>
        <w:t>хімічноактивних</w:t>
      </w:r>
      <w:proofErr w:type="spellEnd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і   радіоактивних  вантажів необхідно  застосовувати  заходи   для   безпеки   персоналу,   що супроводжує  вантаж,  оточуючих  та збереження устаткування ліфта. Одночасне   перевезення   небезпечних   вантажів   та    пасажирів забороняється.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837">
        <w:rPr>
          <w:rFonts w:ascii="Times New Roman" w:hAnsi="Times New Roman" w:cs="Times New Roman"/>
          <w:sz w:val="28"/>
          <w:szCs w:val="28"/>
          <w:lang w:val="uk-UA"/>
        </w:rPr>
        <w:t>Шахта ліфта повинна бути огороджена з усіх  сторін  на всю її висоту і мати перекриття та підлогу.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o245"/>
      <w:bookmarkEnd w:id="31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Дозволяється часткове  огородження   шахти   ліфта   у   разі виконання таких вимог: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o246"/>
      <w:bookmarkEnd w:id="32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висота огорожі повинна бути не менше ніж  3500  мм  з  боку дверей  шахти (якщо таку висоту дозволяє обладнати висота поверху, якщо ні,  то огородження повинно  бути  обладнано  на  максимально можливу висоту) і не менше ніж 2500 мм з інших боків з мінімальною горизонтальною відстанню 500 мм до рухомих частин ліфта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o247"/>
      <w:bookmarkEnd w:id="33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768F3">
        <w:rPr>
          <w:rFonts w:ascii="Times New Roman" w:hAnsi="Times New Roman" w:cs="Times New Roman"/>
          <w:sz w:val="28"/>
          <w:szCs w:val="28"/>
          <w:lang w:val="uk-UA"/>
        </w:rPr>
        <w:t>Якщо відстань</w:t>
      </w:r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до рухомих  частин  перевищує  500  мм,  розмір 2500 мм може бути зменшений поступово до мінімальної висоти 110 мм на відстані 2000 мм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o248"/>
      <w:bookmarkEnd w:id="34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Огорожа повинна  бути  в  межах  150  мм від краю перекриття, східців або платформ.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o249"/>
      <w:bookmarkEnd w:id="35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6.4.2. У  разі  огородження  шахти  ліфта металевими листами, склом,  металевою дротяною сіткою або іншими  матеріалами  повинні виконуватись умови: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o250"/>
      <w:bookmarkEnd w:id="36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товщина сталевого листа - не менше 1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o251"/>
      <w:bookmarkEnd w:id="37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металевий   (не   сталевий)   лист  забезпечує  міцність  і жорсткість не меншу ніж у огородження,  виготовленого зі сталевого листа товщиною 1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o252"/>
      <w:bookmarkEnd w:id="38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скло, ламіноване скло - товщиною не менше ніж 8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o253"/>
      <w:bookmarkEnd w:id="39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армоване скло - товщиною не менше ніж 6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o254"/>
      <w:bookmarkEnd w:id="40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пустотілі скляні блоки - товщина стінки не менше ніж 4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o255"/>
      <w:bookmarkEnd w:id="41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металева дротяна сітка, виконана з дроту діаметром не менше ніж 1,2 мм,  закріплена до каркаса шахти  з  внутрішнього  боку  і натягнута.  Дріт,  який  </w:t>
      </w:r>
      <w:r w:rsidRPr="004C283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кріпить  сітку до горизонтальної обв'язки (поясів)  та  розкосів  шахти,  дозволяється  розміщувати   з   їх зовнішнього боку;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2" w:name="o256"/>
      <w:bookmarkEnd w:id="42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перфорований сталевий лист - товщиною не менше ніж 1,5 мм;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3" w:name="o257"/>
      <w:bookmarkEnd w:id="43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вічко  сітки  з  дроту  та отворів перфорованого листа - не більше ніж 20 х 20 мм.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4" w:name="o258"/>
      <w:bookmarkEnd w:id="44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У ліфтів,  розташованих  у  приставних  та  підвісних шахтах, огородження  шахти  ліфта  з  зовнішнього  боку  будинку   повинно виконуватись  із  скла,  ламінованого  скла  товщиною не менше ніж 8  мм,  армованого  скла  товщиною  не  менше ніж 6 мм, пустотілих скляних блоків товщиною стінки не менше ніж 4 мм на висоті: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5" w:name="o259"/>
      <w:bookmarkEnd w:id="45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у приставної -  більше  2500  мм  від  рівня  площадки,  що </w:t>
      </w:r>
      <w:r w:rsidRPr="004C2837">
        <w:rPr>
          <w:rFonts w:ascii="Times New Roman" w:hAnsi="Times New Roman" w:cs="Times New Roman"/>
          <w:sz w:val="28"/>
          <w:szCs w:val="28"/>
          <w:lang w:val="uk-UA"/>
        </w:rPr>
        <w:br/>
        <w:t>прилягає до шахти;</w:t>
      </w:r>
    </w:p>
    <w:p w:rsidR="005768F3" w:rsidRPr="004C2837" w:rsidRDefault="005768F3" w:rsidP="005768F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6" w:name="o260"/>
      <w:bookmarkEnd w:id="46"/>
      <w:r w:rsidRPr="004C2837">
        <w:rPr>
          <w:rFonts w:ascii="Times New Roman" w:hAnsi="Times New Roman" w:cs="Times New Roman"/>
          <w:sz w:val="28"/>
          <w:szCs w:val="28"/>
          <w:lang w:val="uk-UA"/>
        </w:rPr>
        <w:t xml:space="preserve">     - у підвісної - від огорожі приямка.</w:t>
      </w:r>
    </w:p>
    <w:p w:rsidR="005768F3" w:rsidRPr="004C2837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8F3" w:rsidRPr="00F033A4" w:rsidRDefault="005768F3" w:rsidP="00576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1A19FF" w:rsidRPr="005768F3" w:rsidRDefault="001A19FF">
      <w:pPr>
        <w:rPr>
          <w:lang w:val="uk-UA"/>
        </w:rPr>
      </w:pPr>
    </w:p>
    <w:sectPr w:rsidR="001A19FF" w:rsidRPr="005768F3" w:rsidSect="005F6BA4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6376"/>
      <w:docPartObj>
        <w:docPartGallery w:val="Page Numbers (Top of Page)"/>
        <w:docPartUnique/>
      </w:docPartObj>
    </w:sdtPr>
    <w:sdtEndPr/>
    <w:sdtContent>
      <w:p w:rsidR="00B54E84" w:rsidRDefault="001A19F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8F3">
          <w:rPr>
            <w:noProof/>
          </w:rPr>
          <w:t>7</w:t>
        </w:r>
        <w:r>
          <w:fldChar w:fldCharType="end"/>
        </w:r>
      </w:p>
    </w:sdtContent>
  </w:sdt>
  <w:p w:rsidR="00B54E84" w:rsidRDefault="001A19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8F3"/>
    <w:rsid w:val="001A19FF"/>
    <w:rsid w:val="0057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8F3"/>
  </w:style>
  <w:style w:type="paragraph" w:styleId="HTML">
    <w:name w:val="HTML Preformatted"/>
    <w:basedOn w:val="a"/>
    <w:link w:val="HTML0"/>
    <w:uiPriority w:val="99"/>
    <w:semiHidden/>
    <w:unhideWhenUsed/>
    <w:rsid w:val="00576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8F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7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k.wikipedia.org/wiki/%D0%9F%D0%BD%D0%B5%D0%B2%D0%BC%D0%B0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0%D0%BF%D1%80%D1%8F%D0%BC%D0%BD%D1%96_%D0%BE%D0%BF%D0%BE%D1%80%D0%B8" TargetMode="External"/><Relationship Id="rId12" Type="http://schemas.openxmlformats.org/officeDocument/2006/relationships/hyperlink" Target="https://uk.wikipedia.org/wiki/%D0%93%D1%96%D0%B4%D1%80%D0%B0%D0%B2%D0%BB%D1%96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F%D0%BE%D1%80%D1%83%D0%B4%D0%B0" TargetMode="External"/><Relationship Id="rId11" Type="http://schemas.openxmlformats.org/officeDocument/2006/relationships/hyperlink" Target="https://uk.wikipedia.org/wiki/%D0%9B%D1%96%D1%84%D1%82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14401</Characters>
  <Application>Microsoft Office Word</Application>
  <DocSecurity>0</DocSecurity>
  <Lines>120</Lines>
  <Paragraphs>33</Paragraphs>
  <ScaleCrop>false</ScaleCrop>
  <Company>USN Team</Company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2021-02-18T18:17:00Z</dcterms:created>
  <dcterms:modified xsi:type="dcterms:W3CDTF">2021-02-18T18:17:00Z</dcterms:modified>
</cp:coreProperties>
</file>