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лекції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rFonts w:cs="Arial" w:ascii="Arial" w:hAnsi="Arial"/>
          <w:b/>
          <w:bCs/>
          <w:color w:val="495057"/>
          <w:highlight w:val="white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1.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Філософський даосизм (дао-цзя) і основні етапи її розвитку. Основні поняття, вчення даосів: Дао «де»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2. 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Конфуціанське і даоське розуміння Дао. Ідея про потік загального становлення всіх явищ у книзі «Дао Де Цзин»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Ідеал «досконаломудрого» у даосизмі і його відповідність Дао. Принцип не-діяння (у-вей) як критерій єднання з Дао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67</Words>
  <Characters>389</Characters>
  <CharactersWithSpaces>454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2021-02-24T21:19:49Z</dcterms:created>
  <dc:creator/>
  <dc:description/>
  <dc:language>uk-UA</dc:language>
  <cp:lastModifiedBy/>
  <dcterms:modified xsi:type="dcterms:W3CDTF">2021-02-24T22:12:33Z</dcterms:modified>
  <cp:revision>2</cp:revision>
  <dc:subject/>
  <dc:title/>
</cp:coreProperties>
</file>