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5" w:rsidRPr="009F0F83" w:rsidRDefault="00197CC1" w:rsidP="00E3164F">
      <w:pPr>
        <w:jc w:val="center"/>
        <w:rPr>
          <w:lang w:val="uk-UA"/>
        </w:rPr>
      </w:pPr>
      <w:r w:rsidRPr="009F0F83">
        <w:rPr>
          <w:lang w:val="uk-UA"/>
        </w:rPr>
        <w:t>Тема 2</w:t>
      </w:r>
    </w:p>
    <w:p w:rsidR="00E3164F" w:rsidRPr="009F0F83" w:rsidRDefault="00563045" w:rsidP="00E3164F">
      <w:pPr>
        <w:spacing w:after="0" w:line="228" w:lineRule="auto"/>
        <w:jc w:val="both"/>
        <w:rPr>
          <w:rFonts w:eastAsia="Times New Roman" w:cs="Times New Roman"/>
          <w:sz w:val="24"/>
          <w:lang w:val="uk-UA" w:eastAsia="ru-RU"/>
        </w:rPr>
      </w:pPr>
      <w:r w:rsidRPr="009F0F83">
        <w:rPr>
          <w:lang w:val="uk-UA"/>
        </w:rPr>
        <w:t>З</w:t>
      </w:r>
      <w:r w:rsidR="00197CC1" w:rsidRPr="009F0F83">
        <w:rPr>
          <w:lang w:val="uk-UA"/>
        </w:rPr>
        <w:t>гідно з П(С)БО 12 «Фінансові інвестиції» собівартість фінансової інвестиції складається з ціни придбання, комісійних винагород, мита, податків, зборів, обов'язкових платежів та інших витрат, безпосередньо пов'язаних з придбанням фінансової інвестиції</w:t>
      </w:r>
      <w:r w:rsidR="00E3164F" w:rsidRPr="009F0F83">
        <w:rPr>
          <w:rFonts w:eastAsia="Times New Roman" w:cs="Times New Roman"/>
          <w:lang w:val="uk-UA" w:eastAsia="ru-RU"/>
        </w:rPr>
        <w:t>:</w:t>
      </w:r>
    </w:p>
    <w:p w:rsidR="00E3164F" w:rsidRPr="009F0F83" w:rsidRDefault="00E3164F" w:rsidP="00E3164F">
      <w:pPr>
        <w:spacing w:after="0" w:line="220" w:lineRule="auto"/>
        <w:ind w:left="1276" w:hanging="283"/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</w:t>
      </w:r>
      <w:r w:rsidR="00F4440F" w:rsidRPr="009F0F83">
        <w:rPr>
          <w:rFonts w:eastAsia="Times New Roman" w:cs="Times New Roman"/>
          <w:sz w:val="24"/>
          <w:szCs w:val="24"/>
          <w:lang w:val="uk-UA" w:eastAsia="ru-RU"/>
        </w:rPr>
        <w:tab/>
      </w:r>
      <w:r w:rsidR="00563045" w:rsidRPr="009F0F83">
        <w:rPr>
          <w:lang w:val="uk-UA"/>
        </w:rPr>
        <w:t>при придбанні за грошові кошти</w:t>
      </w:r>
    </w:p>
    <w:p w:rsidR="00E3164F" w:rsidRPr="009F0F83" w:rsidRDefault="00E3164F" w:rsidP="00E3164F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B)</w:t>
      </w:r>
      <w:r w:rsidR="00F4440F" w:rsidRPr="009F0F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563045" w:rsidRPr="009F0F83">
        <w:rPr>
          <w:lang w:val="uk-UA"/>
        </w:rPr>
        <w:t>при надходженні шляхом обміну на цінні папери власної емісії</w:t>
      </w:r>
    </w:p>
    <w:p w:rsidR="00E3164F" w:rsidRPr="009F0F83" w:rsidRDefault="00E3164F" w:rsidP="00E3164F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563045" w:rsidRPr="009F0F83">
        <w:rPr>
          <w:lang w:val="uk-UA"/>
        </w:rPr>
        <w:t>при надходженні шляхом обміну на інші активи</w:t>
      </w:r>
    </w:p>
    <w:p w:rsidR="00E3164F" w:rsidRPr="009F0F83" w:rsidRDefault="00E3164F" w:rsidP="00E3164F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="00C06BE1" w:rsidRPr="009F0F83">
        <w:rPr>
          <w:rFonts w:eastAsia="Times New Roman" w:cs="Times New Roman"/>
          <w:sz w:val="26"/>
          <w:lang w:val="uk-UA" w:eastAsia="ru-RU"/>
        </w:rPr>
        <w:t>всі</w:t>
      </w:r>
      <w:r w:rsidRPr="009F0F83">
        <w:rPr>
          <w:rFonts w:eastAsia="Times New Roman" w:cs="Times New Roman"/>
          <w:sz w:val="26"/>
          <w:lang w:val="uk-UA" w:eastAsia="ru-RU"/>
        </w:rPr>
        <w:t xml:space="preserve"> варіанти </w:t>
      </w:r>
      <w:r w:rsidR="00563045" w:rsidRPr="009F0F83">
        <w:rPr>
          <w:rFonts w:eastAsia="Times New Roman" w:cs="Times New Roman"/>
          <w:sz w:val="26"/>
          <w:lang w:val="uk-UA" w:eastAsia="ru-RU"/>
        </w:rPr>
        <w:t>вірні</w:t>
      </w:r>
    </w:p>
    <w:p w:rsidR="00563045" w:rsidRPr="009F0F83" w:rsidRDefault="00563045" w:rsidP="00563045">
      <w:pPr>
        <w:spacing w:after="0" w:line="228" w:lineRule="auto"/>
        <w:jc w:val="both"/>
        <w:rPr>
          <w:lang w:val="uk-UA"/>
        </w:rPr>
      </w:pPr>
    </w:p>
    <w:p w:rsidR="00563045" w:rsidRPr="009F0F83" w:rsidRDefault="00563045" w:rsidP="00563045">
      <w:pPr>
        <w:spacing w:after="0" w:line="228" w:lineRule="auto"/>
        <w:jc w:val="both"/>
        <w:rPr>
          <w:rFonts w:eastAsia="Times New Roman" w:cs="Times New Roman"/>
          <w:sz w:val="24"/>
          <w:lang w:val="uk-UA" w:eastAsia="ru-RU"/>
        </w:rPr>
      </w:pPr>
      <w:r w:rsidRPr="009F0F83">
        <w:rPr>
          <w:lang w:val="uk-UA"/>
        </w:rPr>
        <w:t>Згідно з П(С)БО 12 «Фінансові інвестиції» собівартість фінансової інвестиції визначається за справедливою вартістю переданих цінних паперів:</w:t>
      </w:r>
    </w:p>
    <w:p w:rsidR="00563045" w:rsidRPr="009F0F83" w:rsidRDefault="00563045" w:rsidP="00563045">
      <w:pPr>
        <w:spacing w:after="0" w:line="220" w:lineRule="auto"/>
        <w:ind w:left="1276" w:hanging="283"/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ab/>
      </w:r>
      <w:r w:rsidRPr="009F0F83">
        <w:rPr>
          <w:lang w:val="uk-UA"/>
        </w:rPr>
        <w:t>при придбанні за грошові кошти</w:t>
      </w:r>
    </w:p>
    <w:p w:rsidR="00563045" w:rsidRPr="009F0F83" w:rsidRDefault="00563045" w:rsidP="00563045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при надходженні шляхом обміну на цінні папери власної емісії</w:t>
      </w:r>
    </w:p>
    <w:p w:rsidR="00563045" w:rsidRPr="009F0F83" w:rsidRDefault="00563045" w:rsidP="00563045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при надходженні шляхом обміну на інші активи</w:t>
      </w:r>
    </w:p>
    <w:p w:rsidR="00563045" w:rsidRPr="009F0F83" w:rsidRDefault="00563045" w:rsidP="00563045">
      <w:pPr>
        <w:spacing w:after="0" w:line="220" w:lineRule="auto"/>
        <w:ind w:left="1276" w:hanging="283"/>
        <w:jc w:val="both"/>
        <w:rPr>
          <w:rFonts w:eastAsia="Times New Roman" w:cs="Times New Roman"/>
          <w:szCs w:val="28"/>
          <w:lang w:val="uk-UA" w:eastAsia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="00C06BE1" w:rsidRPr="009F0F83">
        <w:rPr>
          <w:rFonts w:eastAsia="Times New Roman" w:cs="Times New Roman"/>
          <w:sz w:val="26"/>
          <w:lang w:val="uk-UA" w:eastAsia="ru-RU"/>
        </w:rPr>
        <w:t>всі</w:t>
      </w:r>
      <w:r w:rsidRPr="009F0F83">
        <w:rPr>
          <w:rFonts w:eastAsia="Times New Roman" w:cs="Times New Roman"/>
          <w:sz w:val="26"/>
          <w:lang w:val="uk-UA" w:eastAsia="ru-RU"/>
        </w:rPr>
        <w:t xml:space="preserve"> варіанти вірні</w:t>
      </w:r>
    </w:p>
    <w:p w:rsidR="00296F51" w:rsidRPr="009F0F83" w:rsidRDefault="00296F51" w:rsidP="00296F51">
      <w:pPr>
        <w:spacing w:after="0" w:line="228" w:lineRule="auto"/>
        <w:jc w:val="both"/>
        <w:rPr>
          <w:lang w:val="uk-UA"/>
        </w:rPr>
      </w:pPr>
    </w:p>
    <w:p w:rsidR="00296F51" w:rsidRPr="009F0F83" w:rsidRDefault="00296F51" w:rsidP="00296F51">
      <w:pPr>
        <w:spacing w:after="0" w:line="228" w:lineRule="auto"/>
        <w:jc w:val="both"/>
        <w:rPr>
          <w:rFonts w:eastAsia="Times New Roman" w:cs="Times New Roman"/>
          <w:sz w:val="24"/>
          <w:lang w:val="uk-UA" w:eastAsia="ru-RU"/>
        </w:rPr>
      </w:pPr>
      <w:r w:rsidRPr="009F0F83">
        <w:rPr>
          <w:lang w:val="uk-UA"/>
        </w:rPr>
        <w:t>Згідно з П(С)БО 12 «Фінансові інвестиції» собівартість визначається за справедливою вартістю цих активів:</w:t>
      </w:r>
    </w:p>
    <w:p w:rsidR="00296F51" w:rsidRPr="009F0F83" w:rsidRDefault="00296F51" w:rsidP="00296F51">
      <w:pPr>
        <w:spacing w:after="0" w:line="220" w:lineRule="auto"/>
        <w:ind w:left="1276" w:hanging="283"/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ab/>
      </w:r>
      <w:r w:rsidRPr="009F0F83">
        <w:rPr>
          <w:lang w:val="uk-UA"/>
        </w:rPr>
        <w:t>при придбанні за грошові кошти</w:t>
      </w:r>
    </w:p>
    <w:p w:rsidR="00296F51" w:rsidRPr="009F0F83" w:rsidRDefault="00296F51" w:rsidP="00296F51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при надходженні шляхом обміну на цінні папери власної емісії</w:t>
      </w:r>
    </w:p>
    <w:p w:rsidR="00296F51" w:rsidRPr="009F0F83" w:rsidRDefault="00296F51" w:rsidP="00296F51">
      <w:pPr>
        <w:spacing w:after="0" w:line="22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при надходженні шляхом обміну на інші активи</w:t>
      </w:r>
    </w:p>
    <w:p w:rsidR="00296F51" w:rsidRPr="009F0F83" w:rsidRDefault="00296F51" w:rsidP="00296F51">
      <w:pPr>
        <w:spacing w:after="0" w:line="220" w:lineRule="auto"/>
        <w:ind w:left="1276" w:hanging="283"/>
        <w:jc w:val="both"/>
        <w:rPr>
          <w:rFonts w:eastAsia="Times New Roman" w:cs="Times New Roman"/>
          <w:sz w:val="26"/>
          <w:lang w:val="uk-UA" w:eastAsia="ru-RU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="00C06BE1" w:rsidRPr="009F0F83">
        <w:rPr>
          <w:rFonts w:eastAsia="Times New Roman" w:cs="Times New Roman"/>
          <w:sz w:val="26"/>
          <w:lang w:val="uk-UA" w:eastAsia="ru-RU"/>
        </w:rPr>
        <w:t xml:space="preserve">всі </w:t>
      </w:r>
      <w:r w:rsidRPr="009F0F83">
        <w:rPr>
          <w:rFonts w:eastAsia="Times New Roman" w:cs="Times New Roman"/>
          <w:sz w:val="26"/>
          <w:lang w:val="uk-UA" w:eastAsia="ru-RU"/>
        </w:rPr>
        <w:t>варіанти вірні</w:t>
      </w:r>
    </w:p>
    <w:p w:rsidR="0088180A" w:rsidRPr="009F0F83" w:rsidRDefault="0088180A" w:rsidP="00296F51">
      <w:pPr>
        <w:spacing w:after="0" w:line="220" w:lineRule="auto"/>
        <w:ind w:left="1276" w:hanging="283"/>
        <w:jc w:val="both"/>
        <w:rPr>
          <w:rFonts w:eastAsia="Times New Roman" w:cs="Times New Roman"/>
          <w:sz w:val="26"/>
          <w:lang w:val="uk-UA" w:eastAsia="ru-RU"/>
        </w:rPr>
      </w:pPr>
    </w:p>
    <w:p w:rsidR="00E94236" w:rsidRPr="009F0F83" w:rsidRDefault="00E94236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Довгострокові фінансові інвестиції у боргові цінні папери, що утримуються інвестором до їх погашення, відображаються на дату балансу: за амортизованою собівартістю, тобто за собівартістю, яка збільшена на суму накопиченої амортизації дисконту, або зменшена на суму накопиченої амортизації</w:t>
      </w:r>
      <w:r w:rsidRPr="009F0F83">
        <w:rPr>
          <w:spacing w:val="-1"/>
          <w:lang w:val="uk-UA"/>
        </w:rPr>
        <w:t xml:space="preserve"> </w:t>
      </w:r>
      <w:r w:rsidR="00A46915" w:rsidRPr="009F0F83">
        <w:rPr>
          <w:lang w:val="uk-UA"/>
        </w:rPr>
        <w:t>премії:</w:t>
      </w:r>
    </w:p>
    <w:p w:rsidR="00E94236" w:rsidRPr="009F0F83" w:rsidRDefault="00E94236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за амортизованою собівартістю, тобто за собівартістю, яка збільшена на суму накопиченої амортизації дисконту, або зменшена на суму накопиченої амортизації</w:t>
      </w:r>
      <w:r w:rsidRPr="009F0F83">
        <w:rPr>
          <w:spacing w:val="-1"/>
          <w:lang w:val="uk-UA"/>
        </w:rPr>
        <w:t xml:space="preserve"> </w:t>
      </w:r>
      <w:r w:rsidR="00D76C3D" w:rsidRPr="009F0F83">
        <w:rPr>
          <w:lang w:val="uk-UA"/>
        </w:rPr>
        <w:t>премії</w:t>
      </w:r>
    </w:p>
    <w:p w:rsidR="00E94236" w:rsidRPr="009F0F83" w:rsidRDefault="00E94236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 xml:space="preserve">за </w:t>
      </w:r>
      <w:r w:rsidR="00170D4A" w:rsidRPr="009F0F83">
        <w:rPr>
          <w:lang w:val="uk-UA"/>
        </w:rPr>
        <w:t>зношеною</w:t>
      </w:r>
      <w:r w:rsidRPr="009F0F83">
        <w:rPr>
          <w:lang w:val="uk-UA"/>
        </w:rPr>
        <w:t xml:space="preserve"> собівартістю</w:t>
      </w:r>
    </w:p>
    <w:p w:rsidR="00DD63B9" w:rsidRPr="009F0F83" w:rsidRDefault="00E94236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DD63B9" w:rsidRPr="009F0F83">
        <w:rPr>
          <w:rFonts w:eastAsia="Times New Roman" w:cs="Times New Roman"/>
          <w:sz w:val="24"/>
          <w:szCs w:val="24"/>
          <w:lang w:val="uk-UA" w:eastAsia="ru-RU"/>
        </w:rPr>
        <w:t xml:space="preserve">за здешевленою </w:t>
      </w:r>
      <w:r w:rsidR="00DD63B9" w:rsidRPr="009F0F83">
        <w:rPr>
          <w:lang w:val="uk-UA"/>
        </w:rPr>
        <w:t>собівартістю</w:t>
      </w:r>
    </w:p>
    <w:p w:rsidR="00E94236" w:rsidRPr="009F0F83" w:rsidRDefault="00E94236" w:rsidP="0044641C">
      <w:pPr>
        <w:spacing w:after="0" w:line="240" w:lineRule="auto"/>
        <w:ind w:firstLine="708"/>
        <w:jc w:val="both"/>
        <w:rPr>
          <w:rFonts w:eastAsia="Times New Roman" w:cs="Times New Roman"/>
          <w:sz w:val="26"/>
          <w:lang w:val="uk-UA" w:eastAsia="ru-RU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всі варіанти </w:t>
      </w:r>
      <w:r w:rsidR="00DD63B9" w:rsidRPr="009F0F83">
        <w:rPr>
          <w:rFonts w:eastAsia="Times New Roman" w:cs="Times New Roman"/>
          <w:sz w:val="26"/>
          <w:lang w:val="uk-UA" w:eastAsia="ru-RU"/>
        </w:rPr>
        <w:t>не</w:t>
      </w:r>
      <w:r w:rsidRPr="009F0F83">
        <w:rPr>
          <w:rFonts w:eastAsia="Times New Roman" w:cs="Times New Roman"/>
          <w:sz w:val="26"/>
          <w:lang w:val="uk-UA" w:eastAsia="ru-RU"/>
        </w:rPr>
        <w:t>вірні</w:t>
      </w:r>
    </w:p>
    <w:p w:rsidR="0088180A" w:rsidRPr="009F0F83" w:rsidRDefault="0088180A" w:rsidP="0044641C">
      <w:pPr>
        <w:spacing w:after="0" w:line="240" w:lineRule="auto"/>
        <w:jc w:val="both"/>
        <w:rPr>
          <w:lang w:val="uk-UA"/>
        </w:rPr>
      </w:pPr>
    </w:p>
    <w:p w:rsidR="00D76C3D" w:rsidRPr="009F0F83" w:rsidRDefault="00A46915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Сума перевищення номінальної вартості погашення боргових цінних паперів над їх собівартістю (ціною придбання) це:</w:t>
      </w:r>
    </w:p>
    <w:p w:rsidR="00D76C3D" w:rsidRPr="009F0F83" w:rsidRDefault="00D76C3D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="006C10A0" w:rsidRPr="009F0F83">
        <w:rPr>
          <w:rFonts w:eastAsia="Times New Roman" w:cs="Times New Roman"/>
          <w:sz w:val="24"/>
          <w:szCs w:val="24"/>
          <w:lang w:val="uk-UA" w:eastAsia="ru-RU"/>
        </w:rPr>
        <w:t>дисконт</w:t>
      </w:r>
    </w:p>
    <w:p w:rsidR="00D76C3D" w:rsidRPr="009F0F83" w:rsidRDefault="00D76C3D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="006C10A0" w:rsidRPr="009F0F83">
        <w:rPr>
          <w:rFonts w:eastAsia="Times New Roman" w:cs="Times New Roman"/>
          <w:sz w:val="24"/>
          <w:szCs w:val="24"/>
          <w:lang w:val="uk-UA" w:eastAsia="ru-RU"/>
        </w:rPr>
        <w:t>премія</w:t>
      </w:r>
    </w:p>
    <w:p w:rsidR="00D76C3D" w:rsidRPr="009F0F83" w:rsidRDefault="00D76C3D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6C10A0" w:rsidRPr="009F0F83">
        <w:rPr>
          <w:rFonts w:eastAsia="Times New Roman" w:cs="Times New Roman"/>
          <w:sz w:val="24"/>
          <w:szCs w:val="24"/>
          <w:lang w:val="uk-UA" w:eastAsia="ru-RU"/>
        </w:rPr>
        <w:t>амортизація</w:t>
      </w:r>
    </w:p>
    <w:p w:rsidR="00D76C3D" w:rsidRPr="009F0F83" w:rsidRDefault="00D76C3D" w:rsidP="0044641C">
      <w:pPr>
        <w:spacing w:after="0" w:line="240" w:lineRule="auto"/>
        <w:ind w:firstLine="708"/>
        <w:jc w:val="both"/>
        <w:rPr>
          <w:rFonts w:eastAsia="Times New Roman" w:cs="Times New Roman"/>
          <w:sz w:val="26"/>
          <w:lang w:val="uk-UA" w:eastAsia="ru-RU"/>
        </w:rPr>
      </w:pPr>
      <w:r w:rsidRPr="009F0F83">
        <w:rPr>
          <w:rFonts w:eastAsia="Times New Roman" w:cs="Times New Roman"/>
          <w:sz w:val="26"/>
          <w:lang w:val="uk-UA" w:eastAsia="ru-RU"/>
        </w:rPr>
        <w:t>D) всі варіанти невірні</w:t>
      </w:r>
    </w:p>
    <w:p w:rsidR="00D76C3D" w:rsidRPr="009F0F83" w:rsidRDefault="00D76C3D" w:rsidP="0044641C">
      <w:pPr>
        <w:spacing w:after="0" w:line="240" w:lineRule="auto"/>
        <w:jc w:val="both"/>
        <w:rPr>
          <w:lang w:val="uk-UA"/>
        </w:rPr>
      </w:pPr>
    </w:p>
    <w:p w:rsidR="006C10A0" w:rsidRPr="009F0F83" w:rsidRDefault="006C10A0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Сума перевищення собівартості боргових цінних паперів (ціни придбання) над їх номінальною вартістю це:</w:t>
      </w:r>
    </w:p>
    <w:p w:rsidR="006C10A0" w:rsidRPr="009F0F83" w:rsidRDefault="006C10A0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 дисконт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B) премія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lastRenderedPageBreak/>
        <w:t>C) амортизація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>D) всі варіанти невірні</w:t>
      </w:r>
      <w:r w:rsidRPr="009F0F83">
        <w:rPr>
          <w:lang w:val="uk-UA"/>
        </w:rPr>
        <w:t xml:space="preserve"> </w:t>
      </w:r>
    </w:p>
    <w:p w:rsidR="006C10A0" w:rsidRPr="009F0F83" w:rsidRDefault="006C10A0" w:rsidP="0044641C">
      <w:pPr>
        <w:pStyle w:val="a3"/>
        <w:ind w:left="218" w:right="366" w:firstLine="708"/>
        <w:jc w:val="both"/>
      </w:pPr>
    </w:p>
    <w:p w:rsidR="006C10A0" w:rsidRPr="009F0F83" w:rsidRDefault="006C10A0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Розподіл дисконту або премії протягом періоду з дати придбання боргових цінних паперів до моменту їх погашення, здійснюється за методом ефективної ставки відсотка це:</w:t>
      </w:r>
    </w:p>
    <w:p w:rsidR="006C10A0" w:rsidRPr="009F0F83" w:rsidRDefault="006C10A0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 дисконт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B) премія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C) амортизація</w:t>
      </w:r>
    </w:p>
    <w:p w:rsidR="006C10A0" w:rsidRPr="009F0F83" w:rsidRDefault="006C10A0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>D) всі варіанти невірні</w:t>
      </w:r>
      <w:r w:rsidRPr="009F0F83">
        <w:rPr>
          <w:lang w:val="uk-UA"/>
        </w:rPr>
        <w:t xml:space="preserve"> </w:t>
      </w:r>
    </w:p>
    <w:p w:rsidR="006C10A0" w:rsidRPr="009F0F83" w:rsidRDefault="006C10A0" w:rsidP="0044641C">
      <w:pPr>
        <w:pStyle w:val="a3"/>
        <w:ind w:left="218" w:right="366" w:firstLine="708"/>
        <w:jc w:val="both"/>
      </w:pPr>
    </w:p>
    <w:p w:rsidR="00AF7141" w:rsidRPr="009F0F83" w:rsidRDefault="00AF7141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Сума амортизації дисконту або премії нараховується:</w:t>
      </w:r>
    </w:p>
    <w:p w:rsidR="00AF7141" w:rsidRPr="009F0F83" w:rsidRDefault="00AF7141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одночасно з нарахуванням відсотка, що підлягає отриманню</w:t>
      </w:r>
      <w:r w:rsidRPr="009F0F83">
        <w:rPr>
          <w:spacing w:val="-10"/>
          <w:lang w:val="uk-UA"/>
        </w:rPr>
        <w:t xml:space="preserve"> </w:t>
      </w:r>
      <w:r w:rsidRPr="009F0F83">
        <w:rPr>
          <w:lang w:val="uk-UA"/>
        </w:rPr>
        <w:t>інвестором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AF7141" w:rsidRPr="009F0F83" w:rsidRDefault="00AF7141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="004A3988" w:rsidRPr="009F0F83">
        <w:rPr>
          <w:rFonts w:eastAsia="Times New Roman" w:cs="Times New Roman"/>
          <w:sz w:val="24"/>
          <w:szCs w:val="24"/>
          <w:lang w:val="uk-UA" w:eastAsia="ru-RU"/>
        </w:rPr>
        <w:t>до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F0F83">
        <w:rPr>
          <w:lang w:val="uk-UA"/>
        </w:rPr>
        <w:t>нарахування відсотка, що підлягає отриманню</w:t>
      </w:r>
      <w:r w:rsidRPr="009F0F83">
        <w:rPr>
          <w:spacing w:val="-10"/>
          <w:lang w:val="uk-UA"/>
        </w:rPr>
        <w:t xml:space="preserve"> </w:t>
      </w:r>
      <w:r w:rsidRPr="009F0F83">
        <w:rPr>
          <w:lang w:val="uk-UA"/>
        </w:rPr>
        <w:t>інвестором</w:t>
      </w:r>
    </w:p>
    <w:p w:rsidR="00AF7141" w:rsidRPr="009F0F83" w:rsidRDefault="00AF7141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після </w:t>
      </w:r>
      <w:r w:rsidRPr="009F0F83">
        <w:rPr>
          <w:lang w:val="uk-UA"/>
        </w:rPr>
        <w:t>нарахування відсотка, що підлягає отриманню</w:t>
      </w:r>
      <w:r w:rsidRPr="009F0F83">
        <w:rPr>
          <w:spacing w:val="-10"/>
          <w:lang w:val="uk-UA"/>
        </w:rPr>
        <w:t xml:space="preserve"> </w:t>
      </w:r>
      <w:r w:rsidRPr="009F0F83">
        <w:rPr>
          <w:lang w:val="uk-UA"/>
        </w:rPr>
        <w:t>інвестором</w:t>
      </w:r>
    </w:p>
    <w:p w:rsidR="00AF7141" w:rsidRPr="009F0F83" w:rsidRDefault="00AF7141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>D) всі варіанти невірні</w:t>
      </w:r>
      <w:r w:rsidRPr="009F0F83">
        <w:rPr>
          <w:lang w:val="uk-UA"/>
        </w:rPr>
        <w:t xml:space="preserve"> </w:t>
      </w:r>
    </w:p>
    <w:p w:rsidR="00AF7141" w:rsidRPr="009F0F83" w:rsidRDefault="00AF7141" w:rsidP="0044641C">
      <w:pPr>
        <w:pStyle w:val="a3"/>
        <w:ind w:left="218" w:right="366" w:firstLine="708"/>
        <w:jc w:val="both"/>
      </w:pPr>
    </w:p>
    <w:p w:rsidR="004A3988" w:rsidRPr="009F0F83" w:rsidRDefault="00D0407B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Інформація про майно інвестиційної сфери та джерела його</w:t>
      </w:r>
      <w:r w:rsidRPr="009F0F83">
        <w:rPr>
          <w:spacing w:val="-18"/>
          <w:lang w:val="uk-UA"/>
        </w:rPr>
        <w:t xml:space="preserve"> </w:t>
      </w:r>
      <w:r w:rsidRPr="009F0F83">
        <w:rPr>
          <w:lang w:val="uk-UA"/>
        </w:rPr>
        <w:t>утворення міститься у</w:t>
      </w:r>
      <w:r w:rsidR="004A3988" w:rsidRPr="009F0F83">
        <w:rPr>
          <w:lang w:val="uk-UA"/>
        </w:rPr>
        <w:t>:</w:t>
      </w:r>
    </w:p>
    <w:p w:rsidR="004A3988" w:rsidRPr="009F0F83" w:rsidRDefault="004A3988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="00D0407B" w:rsidRPr="009F0F83">
        <w:rPr>
          <w:lang w:val="uk-UA"/>
        </w:rPr>
        <w:t>форма №1 «Баланс (Звіт про фінансовий стан)»</w:t>
      </w:r>
    </w:p>
    <w:p w:rsidR="004A3988" w:rsidRPr="009F0F83" w:rsidRDefault="004A3988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="00D0407B" w:rsidRPr="009F0F83">
        <w:rPr>
          <w:lang w:val="uk-UA"/>
        </w:rPr>
        <w:t>форма № 2 «Звіт про фінансові результати (Звіт про сукупний дохід)»</w:t>
      </w:r>
    </w:p>
    <w:p w:rsidR="004A3988" w:rsidRPr="009F0F83" w:rsidRDefault="004A3988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D0407B" w:rsidRPr="009F0F83">
        <w:rPr>
          <w:lang w:val="uk-UA"/>
        </w:rPr>
        <w:t>форма № 3 «Звіт про рух грошових коштів»</w:t>
      </w:r>
    </w:p>
    <w:p w:rsidR="004A3988" w:rsidRPr="009F0F83" w:rsidRDefault="004A3988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="00D0407B" w:rsidRPr="009F0F83">
        <w:rPr>
          <w:lang w:val="uk-UA"/>
        </w:rPr>
        <w:t>форма № 4 «Звіт про власний капітал»</w:t>
      </w:r>
    </w:p>
    <w:p w:rsidR="00D0407B" w:rsidRPr="009F0F83" w:rsidRDefault="00D0407B" w:rsidP="0044641C">
      <w:pPr>
        <w:spacing w:after="0" w:line="240" w:lineRule="auto"/>
        <w:jc w:val="both"/>
        <w:rPr>
          <w:lang w:val="uk-UA"/>
        </w:rPr>
      </w:pPr>
    </w:p>
    <w:p w:rsidR="00D0407B" w:rsidRPr="009F0F83" w:rsidRDefault="00600584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 xml:space="preserve">Інформація про доходи і витрати від інвестиційної діяльності </w:t>
      </w:r>
      <w:r w:rsidR="00D0407B" w:rsidRPr="009F0F83">
        <w:rPr>
          <w:lang w:val="uk-UA"/>
        </w:rPr>
        <w:t>міститься у:</w:t>
      </w:r>
    </w:p>
    <w:p w:rsidR="00D0407B" w:rsidRPr="009F0F83" w:rsidRDefault="00D0407B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форма №1 «Баланс (Звіт про фінансовий стан)»</w:t>
      </w:r>
    </w:p>
    <w:p w:rsidR="00D0407B" w:rsidRPr="009F0F83" w:rsidRDefault="00D0407B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форма № 2 «Звіт про фінансові результати (Звіт про сукупний дохід)»</w:t>
      </w:r>
    </w:p>
    <w:p w:rsidR="00D0407B" w:rsidRPr="009F0F83" w:rsidRDefault="00D0407B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форма № 3 «Звіт про рух грошових коштів»</w:t>
      </w:r>
    </w:p>
    <w:p w:rsidR="00D0407B" w:rsidRPr="009F0F83" w:rsidRDefault="00D0407B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Pr="009F0F83">
        <w:rPr>
          <w:lang w:val="uk-UA"/>
        </w:rPr>
        <w:t>форма № 4 «Звіт про власний капітал»</w:t>
      </w:r>
    </w:p>
    <w:p w:rsidR="004A3988" w:rsidRPr="009F0F83" w:rsidRDefault="004A3988" w:rsidP="0044641C">
      <w:pPr>
        <w:pStyle w:val="a3"/>
        <w:ind w:left="218" w:right="366" w:firstLine="708"/>
        <w:jc w:val="both"/>
      </w:pPr>
    </w:p>
    <w:p w:rsidR="00600584" w:rsidRPr="009F0F83" w:rsidRDefault="00600584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Інформація про грошові надходження та видатки в результаті інвестиційної</w:t>
      </w:r>
      <w:r w:rsidRPr="009F0F83">
        <w:rPr>
          <w:spacing w:val="-16"/>
          <w:lang w:val="uk-UA"/>
        </w:rPr>
        <w:t xml:space="preserve"> </w:t>
      </w:r>
      <w:r w:rsidRPr="009F0F83">
        <w:rPr>
          <w:lang w:val="uk-UA"/>
        </w:rPr>
        <w:t>діяльності міститься у:</w:t>
      </w:r>
    </w:p>
    <w:p w:rsidR="00600584" w:rsidRPr="009F0F83" w:rsidRDefault="00600584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формі №1 «Баланс (Звіт про фінансовий стан)»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формі № 2 «Звіт про фінансові результати (Звіт про сукупний дохід)»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формі № 3 «Звіт про рух грошових коштів»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Pr="009F0F83">
        <w:rPr>
          <w:lang w:val="uk-UA"/>
        </w:rPr>
        <w:t>формі № 4 «Звіт про власний капітал»</w:t>
      </w:r>
    </w:p>
    <w:p w:rsidR="004A3988" w:rsidRPr="009F0F83" w:rsidRDefault="004A3988" w:rsidP="0044641C">
      <w:pPr>
        <w:pStyle w:val="a3"/>
        <w:ind w:left="218" w:right="366" w:firstLine="708"/>
        <w:jc w:val="both"/>
      </w:pPr>
    </w:p>
    <w:p w:rsidR="00600584" w:rsidRPr="009F0F83" w:rsidRDefault="00F716BC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Д</w:t>
      </w:r>
      <w:r w:rsidR="00BB6C0D" w:rsidRPr="009F0F83">
        <w:rPr>
          <w:lang w:val="uk-UA"/>
        </w:rPr>
        <w:t>еталізована інформація</w:t>
      </w:r>
      <w:r w:rsidRPr="009F0F83">
        <w:rPr>
          <w:lang w:val="uk-UA"/>
        </w:rPr>
        <w:t xml:space="preserve"> про походження та рух джерел або основних складових власного капіталу підприємства як основного джерела</w:t>
      </w:r>
      <w:r w:rsidRPr="009F0F83">
        <w:rPr>
          <w:spacing w:val="-13"/>
          <w:lang w:val="uk-UA"/>
        </w:rPr>
        <w:t xml:space="preserve"> </w:t>
      </w:r>
      <w:r w:rsidRPr="009F0F83">
        <w:rPr>
          <w:lang w:val="uk-UA"/>
        </w:rPr>
        <w:t>інвестування</w:t>
      </w:r>
      <w:r w:rsidR="00BB6C0D" w:rsidRPr="009F0F83">
        <w:rPr>
          <w:lang w:val="uk-UA"/>
        </w:rPr>
        <w:t xml:space="preserve"> міститься у</w:t>
      </w:r>
      <w:r w:rsidR="00600584" w:rsidRPr="009F0F83">
        <w:rPr>
          <w:lang w:val="uk-UA"/>
        </w:rPr>
        <w:t>:</w:t>
      </w:r>
    </w:p>
    <w:p w:rsidR="00600584" w:rsidRPr="009F0F83" w:rsidRDefault="00600584" w:rsidP="0044641C">
      <w:pPr>
        <w:spacing w:after="0" w:line="240" w:lineRule="auto"/>
        <w:ind w:firstLine="709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формі №1 «Баланс (Звіт про фінансовий стан)»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формі № 2 «Звіт про фінансові результати (Звіт про сукупний дохід)»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формі № 3 «Звіт про рух грошових коштів»</w:t>
      </w:r>
    </w:p>
    <w:p w:rsidR="00600584" w:rsidRPr="009F0F83" w:rsidRDefault="00600584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lastRenderedPageBreak/>
        <w:t xml:space="preserve">D) </w:t>
      </w:r>
      <w:r w:rsidRPr="009F0F83">
        <w:rPr>
          <w:lang w:val="uk-UA"/>
        </w:rPr>
        <w:t>формі № 4 «Звіт про власний капітал»</w:t>
      </w:r>
    </w:p>
    <w:p w:rsidR="00C41E08" w:rsidRPr="009F0F83" w:rsidRDefault="00C41E08" w:rsidP="0044641C">
      <w:pPr>
        <w:pStyle w:val="a3"/>
        <w:ind w:right="366"/>
        <w:jc w:val="both"/>
      </w:pPr>
    </w:p>
    <w:p w:rsidR="0036491B" w:rsidRPr="009F0F83" w:rsidRDefault="00FE233F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 xml:space="preserve">Документальне </w:t>
      </w:r>
      <w:r w:rsidR="003274A2" w:rsidRPr="009F0F83">
        <w:rPr>
          <w:lang w:val="uk-UA"/>
        </w:rPr>
        <w:t>забезпечення</w:t>
      </w:r>
      <w:r w:rsidRPr="009F0F83">
        <w:rPr>
          <w:lang w:val="uk-UA"/>
        </w:rPr>
        <w:t xml:space="preserve"> обліку капітальних інвестицій при</w:t>
      </w:r>
      <w:r w:rsidR="003274A2" w:rsidRPr="009F0F83">
        <w:rPr>
          <w:lang w:val="uk-UA"/>
        </w:rPr>
        <w:t xml:space="preserve"> </w:t>
      </w:r>
      <w:r w:rsidRPr="009F0F83">
        <w:rPr>
          <w:lang w:val="uk-UA"/>
        </w:rPr>
        <w:t xml:space="preserve">їх </w:t>
      </w:r>
      <w:r w:rsidR="003274A2" w:rsidRPr="009F0F83">
        <w:rPr>
          <w:lang w:val="uk-UA"/>
        </w:rPr>
        <w:t>придбанні підтверджується наступними документами</w:t>
      </w:r>
      <w:r w:rsidRPr="009F0F83">
        <w:rPr>
          <w:lang w:val="uk-UA"/>
        </w:rPr>
        <w:t>:</w:t>
      </w:r>
    </w:p>
    <w:p w:rsidR="00D2071B" w:rsidRPr="009F0F83" w:rsidRDefault="00FE233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="00D2071B" w:rsidRPr="009F0F83">
        <w:rPr>
          <w:lang w:val="uk-UA"/>
        </w:rPr>
        <w:t>договори; видаткові касові ордери; платіжні доручення вихідні; виписки банку; акти приймання виконаних підрядних робіт; довідка про вартість виконаних підрядних робіт; акти приймання обладнання; прибуткові ордери; податкові накладні; бухгалтерські довідки; товарно-транспортні накладні</w:t>
      </w:r>
    </w:p>
    <w:p w:rsidR="0036491B" w:rsidRPr="009F0F83" w:rsidRDefault="00FE233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="000A399B" w:rsidRPr="009F0F83">
        <w:rPr>
          <w:lang w:val="uk-UA"/>
        </w:rPr>
        <w:t>договори; прибуткові касові ордери; платіжні доручення вхідні; виписки банку; акти приймання-передачі; податкові накладні</w:t>
      </w:r>
    </w:p>
    <w:p w:rsidR="00FE233F" w:rsidRPr="009F0F83" w:rsidRDefault="00FE233F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0A399B" w:rsidRPr="009F0F83">
        <w:rPr>
          <w:lang w:val="uk-UA"/>
        </w:rPr>
        <w:t>договори; видаткові касові ордери; платіжні доручення</w:t>
      </w:r>
      <w:r w:rsidR="000A399B" w:rsidRPr="009F0F83">
        <w:rPr>
          <w:spacing w:val="-3"/>
          <w:lang w:val="uk-UA"/>
        </w:rPr>
        <w:t xml:space="preserve"> </w:t>
      </w:r>
      <w:r w:rsidR="000A399B" w:rsidRPr="009F0F83">
        <w:rPr>
          <w:lang w:val="uk-UA"/>
        </w:rPr>
        <w:t>вихідні; виписки</w:t>
      </w:r>
      <w:r w:rsidR="000A399B" w:rsidRPr="009F0F83">
        <w:rPr>
          <w:spacing w:val="-1"/>
          <w:lang w:val="uk-UA"/>
        </w:rPr>
        <w:t xml:space="preserve"> </w:t>
      </w:r>
      <w:r w:rsidR="000A399B" w:rsidRPr="009F0F83">
        <w:rPr>
          <w:lang w:val="uk-UA"/>
        </w:rPr>
        <w:t>банку; бухгалтерські</w:t>
      </w:r>
      <w:r w:rsidR="000A399B" w:rsidRPr="009F0F83">
        <w:rPr>
          <w:spacing w:val="-1"/>
          <w:lang w:val="uk-UA"/>
        </w:rPr>
        <w:t xml:space="preserve"> </w:t>
      </w:r>
      <w:r w:rsidR="000A399B" w:rsidRPr="009F0F83">
        <w:rPr>
          <w:lang w:val="uk-UA"/>
        </w:rPr>
        <w:t>довідки; виписки з реєстру цінних паперів</w:t>
      </w:r>
    </w:p>
    <w:p w:rsidR="00FE233F" w:rsidRPr="009F0F83" w:rsidRDefault="00FE233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="0036491B" w:rsidRPr="009F0F83">
        <w:rPr>
          <w:lang w:val="uk-UA"/>
        </w:rPr>
        <w:t>договори; прибуткові касові ордери; платіжні доручення</w:t>
      </w:r>
      <w:r w:rsidR="0036491B" w:rsidRPr="009F0F83">
        <w:rPr>
          <w:spacing w:val="-5"/>
          <w:lang w:val="uk-UA"/>
        </w:rPr>
        <w:t xml:space="preserve"> </w:t>
      </w:r>
      <w:r w:rsidR="0036491B" w:rsidRPr="009F0F83">
        <w:rPr>
          <w:lang w:val="uk-UA"/>
        </w:rPr>
        <w:t>вхідні; виписки</w:t>
      </w:r>
      <w:r w:rsidR="0036491B" w:rsidRPr="009F0F83">
        <w:rPr>
          <w:spacing w:val="-1"/>
          <w:lang w:val="uk-UA"/>
        </w:rPr>
        <w:t xml:space="preserve"> </w:t>
      </w:r>
      <w:r w:rsidR="0036491B" w:rsidRPr="009F0F83">
        <w:rPr>
          <w:lang w:val="uk-UA"/>
        </w:rPr>
        <w:t>банку; бухгалтерські</w:t>
      </w:r>
      <w:r w:rsidR="0036491B" w:rsidRPr="009F0F83">
        <w:rPr>
          <w:spacing w:val="-1"/>
          <w:lang w:val="uk-UA"/>
        </w:rPr>
        <w:t xml:space="preserve"> </w:t>
      </w:r>
      <w:r w:rsidR="0036491B" w:rsidRPr="009F0F83">
        <w:rPr>
          <w:lang w:val="uk-UA"/>
        </w:rPr>
        <w:t>довідки; виписки з реєстру цінних паперів</w:t>
      </w:r>
    </w:p>
    <w:p w:rsidR="00E17B4E" w:rsidRPr="009F0F83" w:rsidRDefault="00E17B4E" w:rsidP="0044641C">
      <w:pPr>
        <w:spacing w:after="0" w:line="240" w:lineRule="auto"/>
        <w:jc w:val="both"/>
        <w:rPr>
          <w:lang w:val="uk-UA"/>
        </w:rPr>
      </w:pPr>
    </w:p>
    <w:p w:rsidR="00E17B4E" w:rsidRPr="009F0F83" w:rsidRDefault="00E17B4E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Документальне забезпечення обліку капітальних інвестицій при їх реалізації підтверджується наступними документами:</w:t>
      </w:r>
    </w:p>
    <w:p w:rsidR="00E17B4E" w:rsidRPr="009F0F83" w:rsidRDefault="00E17B4E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договори; видаткові касові ордери; платіжні доручення вихідні; виписки банку; акти приймання виконаних підрядних робіт; довідка про вартість виконаних підрядних робіт; акти приймання обладнання; прибуткові ордери; податкові накладні; бухгалтерські довідки; товарно-транспортні накладні</w:t>
      </w:r>
    </w:p>
    <w:p w:rsidR="00E17B4E" w:rsidRPr="009F0F83" w:rsidRDefault="00E17B4E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договори; прибуткові касові ордери; платіжні доручення вхідні; виписки банку; акти приймання-передачі; податкові накладні</w:t>
      </w:r>
    </w:p>
    <w:p w:rsidR="00E17B4E" w:rsidRPr="009F0F83" w:rsidRDefault="00E17B4E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договори; видаткові касові ордери; платіжні доручення</w:t>
      </w:r>
      <w:r w:rsidRPr="009F0F83">
        <w:rPr>
          <w:spacing w:val="-3"/>
          <w:lang w:val="uk-UA"/>
        </w:rPr>
        <w:t xml:space="preserve"> </w:t>
      </w:r>
      <w:r w:rsidRPr="009F0F83">
        <w:rPr>
          <w:lang w:val="uk-UA"/>
        </w:rPr>
        <w:t>вихідні;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E17B4E" w:rsidRPr="009F0F83" w:rsidRDefault="00E17B4E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Pr="009F0F83">
        <w:rPr>
          <w:lang w:val="uk-UA"/>
        </w:rPr>
        <w:t>договори; прибуткові касові ордери; платіжні доручення</w:t>
      </w:r>
      <w:r w:rsidRPr="009F0F83">
        <w:rPr>
          <w:spacing w:val="-5"/>
          <w:lang w:val="uk-UA"/>
        </w:rPr>
        <w:t xml:space="preserve"> </w:t>
      </w:r>
      <w:r w:rsidRPr="009F0F83">
        <w:rPr>
          <w:lang w:val="uk-UA"/>
        </w:rPr>
        <w:t>вхідні;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505F5F" w:rsidRPr="009F0F83" w:rsidRDefault="00505F5F" w:rsidP="0044641C">
      <w:pPr>
        <w:spacing w:after="0" w:line="240" w:lineRule="auto"/>
        <w:jc w:val="both"/>
        <w:rPr>
          <w:lang w:val="uk-UA"/>
        </w:rPr>
      </w:pPr>
    </w:p>
    <w:p w:rsidR="00505F5F" w:rsidRPr="009F0F83" w:rsidRDefault="00505F5F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Документальне забезпечення обліку фінансових інвестицій при їх придбанні підтверджується наступними документами: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договори; видаткові касові ордери; платіжні доручення вихідні; виписки банку; акти приймання виконаних підрядних робіт; довідка про вартість виконаних підрядних робіт; акти приймання обладнання; прибуткові ордери; податкові накладні; бухгалтерські довідки; товарно-транспортні накладні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договори; прибуткові касові ордери; платіжні доручення вхідні; виписки банку; акти приймання-передачі; податкові накладні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договори; видаткові касові ордери; платіжні доручення</w:t>
      </w:r>
      <w:r w:rsidRPr="009F0F83">
        <w:rPr>
          <w:spacing w:val="-3"/>
          <w:lang w:val="uk-UA"/>
        </w:rPr>
        <w:t xml:space="preserve"> </w:t>
      </w:r>
      <w:r w:rsidRPr="009F0F83">
        <w:rPr>
          <w:lang w:val="uk-UA"/>
        </w:rPr>
        <w:t>вихідні;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Pr="009F0F83">
        <w:rPr>
          <w:lang w:val="uk-UA"/>
        </w:rPr>
        <w:t>договори; прибуткові касові ордери; платіжні доручення</w:t>
      </w:r>
      <w:r w:rsidRPr="009F0F83">
        <w:rPr>
          <w:spacing w:val="-5"/>
          <w:lang w:val="uk-UA"/>
        </w:rPr>
        <w:t xml:space="preserve"> </w:t>
      </w:r>
      <w:r w:rsidRPr="009F0F83">
        <w:rPr>
          <w:lang w:val="uk-UA"/>
        </w:rPr>
        <w:t>вхідні;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505F5F" w:rsidRPr="009F0F83" w:rsidRDefault="00505F5F" w:rsidP="0044641C">
      <w:pPr>
        <w:spacing w:after="0" w:line="240" w:lineRule="auto"/>
        <w:jc w:val="both"/>
        <w:rPr>
          <w:lang w:val="uk-UA"/>
        </w:rPr>
      </w:pPr>
    </w:p>
    <w:p w:rsidR="00505F5F" w:rsidRPr="009F0F83" w:rsidRDefault="00505F5F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lastRenderedPageBreak/>
        <w:t>Документальне забезпечення обліку фінансових інвестицій при їх реалізації підтверджується наступними документами: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A) </w:t>
      </w:r>
      <w:r w:rsidRPr="009F0F83">
        <w:rPr>
          <w:lang w:val="uk-UA"/>
        </w:rPr>
        <w:t>договори; видаткові касові ордери; платіжні доручення вихідні; виписки банку; акти приймання виконаних підрядних робіт; довідка про вартість виконаних підрядних робіт; акти приймання обладнання; прибуткові ордери; податкові накладні; бухгалтерські довідки; товарно-транспортні накладні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>договори; прибуткові касові ордери; платіжні доручення вхідні; виписки банку; акти приймання-передачі; податкові накладні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договори; видаткові касові ордери; платіжні доручення</w:t>
      </w:r>
      <w:r w:rsidRPr="009F0F83">
        <w:rPr>
          <w:spacing w:val="-3"/>
          <w:lang w:val="uk-UA"/>
        </w:rPr>
        <w:t xml:space="preserve"> </w:t>
      </w:r>
      <w:r w:rsidRPr="009F0F83">
        <w:rPr>
          <w:lang w:val="uk-UA"/>
        </w:rPr>
        <w:t>вихідні;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505F5F" w:rsidRPr="009F0F83" w:rsidRDefault="00505F5F" w:rsidP="0044641C">
      <w:pPr>
        <w:spacing w:after="0" w:line="240" w:lineRule="auto"/>
        <w:ind w:firstLine="708"/>
        <w:jc w:val="both"/>
        <w:rPr>
          <w:lang w:val="uk-UA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</w:t>
      </w:r>
      <w:r w:rsidRPr="009F0F83">
        <w:rPr>
          <w:lang w:val="uk-UA"/>
        </w:rPr>
        <w:t>договори; прибуткові касові ордери; платіжні доручення</w:t>
      </w:r>
      <w:r w:rsidRPr="009F0F83">
        <w:rPr>
          <w:spacing w:val="-5"/>
          <w:lang w:val="uk-UA"/>
        </w:rPr>
        <w:t xml:space="preserve"> </w:t>
      </w:r>
      <w:r w:rsidRPr="009F0F83">
        <w:rPr>
          <w:lang w:val="uk-UA"/>
        </w:rPr>
        <w:t>вхідні; виписки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банку; бухгалтерські</w:t>
      </w:r>
      <w:r w:rsidRPr="009F0F83">
        <w:rPr>
          <w:spacing w:val="-1"/>
          <w:lang w:val="uk-UA"/>
        </w:rPr>
        <w:t xml:space="preserve"> </w:t>
      </w:r>
      <w:r w:rsidRPr="009F0F83">
        <w:rPr>
          <w:lang w:val="uk-UA"/>
        </w:rPr>
        <w:t>довідки; виписки з реєстру цінних паперів</w:t>
      </w:r>
    </w:p>
    <w:p w:rsidR="00C41E08" w:rsidRPr="009F0F83" w:rsidRDefault="00C41E08" w:rsidP="0044641C">
      <w:pPr>
        <w:pStyle w:val="a3"/>
        <w:ind w:right="366"/>
        <w:jc w:val="both"/>
      </w:pPr>
    </w:p>
    <w:p w:rsidR="00D76C3D" w:rsidRPr="009F0F83" w:rsidRDefault="00D76C3D" w:rsidP="0044641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lang w:val="uk-UA"/>
        </w:rPr>
        <w:t>Згідно з П(С)БО 12 «Фінансові інвестиції» вибір методу оцінки фінансових інвестицій на дату складання балансу залежить від мети їх придбання, а саме призначені вони: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D76C3D" w:rsidRPr="009F0F83" w:rsidRDefault="00D76C3D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</w:t>
      </w:r>
      <w:r w:rsidRPr="009F0F83">
        <w:rPr>
          <w:rFonts w:eastAsia="Times New Roman" w:cs="Times New Roman"/>
          <w:sz w:val="24"/>
          <w:szCs w:val="24"/>
          <w:lang w:val="uk-UA" w:eastAsia="ru-RU"/>
        </w:rPr>
        <w:tab/>
      </w:r>
      <w:r w:rsidRPr="009F0F83">
        <w:rPr>
          <w:lang w:val="uk-UA"/>
        </w:rPr>
        <w:t xml:space="preserve">для </w:t>
      </w:r>
      <w:r w:rsidR="003040DE" w:rsidRPr="009F0F83">
        <w:rPr>
          <w:lang w:val="uk-UA"/>
        </w:rPr>
        <w:t>контролю</w:t>
      </w:r>
    </w:p>
    <w:p w:rsidR="00D76C3D" w:rsidRPr="009F0F83" w:rsidRDefault="00D76C3D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Pr="009F0F83">
        <w:rPr>
          <w:lang w:val="uk-UA"/>
        </w:rPr>
        <w:t xml:space="preserve">для </w:t>
      </w:r>
      <w:r w:rsidR="003040DE" w:rsidRPr="009F0F83">
        <w:rPr>
          <w:lang w:val="uk-UA"/>
        </w:rPr>
        <w:t>аудиту</w:t>
      </w:r>
    </w:p>
    <w:p w:rsidR="00D76C3D" w:rsidRPr="009F0F83" w:rsidRDefault="00D76C3D" w:rsidP="0044641C">
      <w:pPr>
        <w:spacing w:after="0" w:line="240" w:lineRule="auto"/>
        <w:ind w:left="1276" w:hanging="283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Pr="009F0F83">
        <w:rPr>
          <w:lang w:val="uk-UA"/>
        </w:rPr>
        <w:t>для продажу чи для утримання з метою одержання прибутку</w:t>
      </w:r>
    </w:p>
    <w:p w:rsidR="00D76C3D" w:rsidRPr="009F0F83" w:rsidRDefault="00D76C3D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6"/>
          <w:lang w:val="uk-UA" w:eastAsia="ru-RU"/>
        </w:rPr>
      </w:pPr>
      <w:r w:rsidRPr="009F0F83">
        <w:rPr>
          <w:rFonts w:eastAsia="Times New Roman" w:cs="Times New Roman"/>
          <w:sz w:val="26"/>
          <w:lang w:val="uk-UA" w:eastAsia="ru-RU"/>
        </w:rPr>
        <w:t>D) всі варіанти вірні</w:t>
      </w:r>
    </w:p>
    <w:p w:rsidR="00D76C3D" w:rsidRPr="009F0F83" w:rsidRDefault="00D76C3D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6"/>
          <w:lang w:val="uk-UA" w:eastAsia="ru-RU"/>
        </w:rPr>
      </w:pPr>
    </w:p>
    <w:p w:rsidR="000D23C2" w:rsidRPr="009F0F83" w:rsidRDefault="00D76C3D" w:rsidP="0044641C">
      <w:pPr>
        <w:spacing w:after="0" w:line="240" w:lineRule="auto"/>
        <w:jc w:val="both"/>
        <w:rPr>
          <w:lang w:val="uk-UA"/>
        </w:rPr>
      </w:pPr>
      <w:r w:rsidRPr="009F0F83">
        <w:rPr>
          <w:lang w:val="uk-UA"/>
        </w:rPr>
        <w:t>Поточні фінансові інвестиції згідно з П(С)БО 12 «Фінансові інвестиції» відображаються в обліку і звітності за собівартістю або справедливою вартістю</w:t>
      </w:r>
      <w:r w:rsidR="00036282" w:rsidRPr="009F0F83">
        <w:rPr>
          <w:lang w:val="uk-UA"/>
        </w:rPr>
        <w:t>:</w:t>
      </w:r>
    </w:p>
    <w:p w:rsidR="007D67BF" w:rsidRPr="009F0F83" w:rsidRDefault="007D67BF" w:rsidP="0044641C">
      <w:pPr>
        <w:spacing w:after="0" w:line="240" w:lineRule="auto"/>
        <w:ind w:left="285" w:firstLine="708"/>
        <w:jc w:val="both"/>
        <w:rPr>
          <w:rFonts w:eastAsia="Times New Roman" w:cs="Times New Roman"/>
          <w:sz w:val="26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>A)</w:t>
      </w:r>
      <w:r w:rsidR="00434DE9" w:rsidRPr="009F0F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434DE9" w:rsidRPr="009F0F83">
        <w:rPr>
          <w:lang w:val="uk-UA"/>
        </w:rPr>
        <w:t>кожної окремої інвестиції або інвестиційного портфеля в цілому</w:t>
      </w:r>
    </w:p>
    <w:p w:rsidR="007D67BF" w:rsidRPr="009F0F83" w:rsidRDefault="007D67BF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B) </w:t>
      </w:r>
      <w:r w:rsidR="00434DE9" w:rsidRPr="009F0F83">
        <w:rPr>
          <w:lang w:val="uk-UA"/>
        </w:rPr>
        <w:t>кожної окремої інвестиції або інвестиційного архіву в цілому</w:t>
      </w:r>
    </w:p>
    <w:p w:rsidR="007D67BF" w:rsidRPr="009F0F83" w:rsidRDefault="007D67BF" w:rsidP="0044641C">
      <w:pPr>
        <w:spacing w:after="0" w:line="240" w:lineRule="auto"/>
        <w:ind w:left="1276" w:hanging="283"/>
        <w:jc w:val="both"/>
        <w:rPr>
          <w:lang w:val="uk-UA"/>
        </w:rPr>
      </w:pPr>
      <w:r w:rsidRPr="009F0F83">
        <w:rPr>
          <w:rFonts w:eastAsia="Times New Roman" w:cs="Times New Roman"/>
          <w:sz w:val="24"/>
          <w:szCs w:val="24"/>
          <w:lang w:val="uk-UA" w:eastAsia="ru-RU"/>
        </w:rPr>
        <w:t xml:space="preserve">C) </w:t>
      </w:r>
      <w:r w:rsidR="00434DE9" w:rsidRPr="009F0F83">
        <w:rPr>
          <w:lang w:val="uk-UA"/>
        </w:rPr>
        <w:t>кожної окремої інвестиції або інвестиційно</w:t>
      </w:r>
      <w:r w:rsidR="00036282" w:rsidRPr="009F0F83">
        <w:rPr>
          <w:lang w:val="uk-UA"/>
        </w:rPr>
        <w:t>ї</w:t>
      </w:r>
      <w:r w:rsidR="00434DE9" w:rsidRPr="009F0F83">
        <w:rPr>
          <w:lang w:val="uk-UA"/>
        </w:rPr>
        <w:t xml:space="preserve"> </w:t>
      </w:r>
      <w:r w:rsidR="00036282" w:rsidRPr="009F0F83">
        <w:rPr>
          <w:lang w:val="uk-UA"/>
        </w:rPr>
        <w:t>політики</w:t>
      </w:r>
      <w:r w:rsidR="00434DE9" w:rsidRPr="009F0F83">
        <w:rPr>
          <w:lang w:val="uk-UA"/>
        </w:rPr>
        <w:t xml:space="preserve"> в цілому</w:t>
      </w:r>
    </w:p>
    <w:p w:rsidR="007D67BF" w:rsidRPr="009F0F83" w:rsidRDefault="007D67BF" w:rsidP="0044641C">
      <w:pPr>
        <w:spacing w:after="0" w:line="240" w:lineRule="auto"/>
        <w:ind w:left="1276" w:hanging="283"/>
        <w:jc w:val="both"/>
        <w:rPr>
          <w:rFonts w:eastAsia="Times New Roman" w:cs="Times New Roman"/>
          <w:sz w:val="26"/>
          <w:lang w:val="uk-UA" w:eastAsia="ru-RU"/>
        </w:rPr>
      </w:pPr>
      <w:r w:rsidRPr="009F0F83">
        <w:rPr>
          <w:rFonts w:eastAsia="Times New Roman" w:cs="Times New Roman"/>
          <w:sz w:val="26"/>
          <w:lang w:val="uk-UA" w:eastAsia="ru-RU"/>
        </w:rPr>
        <w:t xml:space="preserve">D) всі варіанти </w:t>
      </w:r>
      <w:r w:rsidR="00036282" w:rsidRPr="009F0F83">
        <w:rPr>
          <w:rFonts w:eastAsia="Times New Roman" w:cs="Times New Roman"/>
          <w:sz w:val="26"/>
          <w:lang w:val="uk-UA" w:eastAsia="ru-RU"/>
        </w:rPr>
        <w:t>не</w:t>
      </w:r>
      <w:r w:rsidRPr="009F0F83">
        <w:rPr>
          <w:rFonts w:eastAsia="Times New Roman" w:cs="Times New Roman"/>
          <w:sz w:val="26"/>
          <w:lang w:val="uk-UA" w:eastAsia="ru-RU"/>
        </w:rPr>
        <w:t>вірні</w:t>
      </w:r>
    </w:p>
    <w:sectPr w:rsidR="007D67BF" w:rsidRPr="009F0F83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7B2"/>
    <w:multiLevelType w:val="hybridMultilevel"/>
    <w:tmpl w:val="93FA706E"/>
    <w:lvl w:ilvl="0" w:tplc="BA0A9DE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91A1FAE">
      <w:numFmt w:val="bullet"/>
      <w:lvlText w:val="•"/>
      <w:lvlJc w:val="left"/>
      <w:pPr>
        <w:ind w:left="619" w:hanging="164"/>
      </w:pPr>
      <w:rPr>
        <w:lang w:val="uk-UA" w:eastAsia="en-US" w:bidi="ar-SA"/>
      </w:rPr>
    </w:lvl>
    <w:lvl w:ilvl="2" w:tplc="99F49CA4">
      <w:numFmt w:val="bullet"/>
      <w:lvlText w:val="•"/>
      <w:lvlJc w:val="left"/>
      <w:pPr>
        <w:ind w:left="958" w:hanging="164"/>
      </w:pPr>
      <w:rPr>
        <w:lang w:val="uk-UA" w:eastAsia="en-US" w:bidi="ar-SA"/>
      </w:rPr>
    </w:lvl>
    <w:lvl w:ilvl="3" w:tplc="EDBCFD5A">
      <w:numFmt w:val="bullet"/>
      <w:lvlText w:val="•"/>
      <w:lvlJc w:val="left"/>
      <w:pPr>
        <w:ind w:left="1297" w:hanging="164"/>
      </w:pPr>
      <w:rPr>
        <w:lang w:val="uk-UA" w:eastAsia="en-US" w:bidi="ar-SA"/>
      </w:rPr>
    </w:lvl>
    <w:lvl w:ilvl="4" w:tplc="EDD6A8AA">
      <w:numFmt w:val="bullet"/>
      <w:lvlText w:val="•"/>
      <w:lvlJc w:val="left"/>
      <w:pPr>
        <w:ind w:left="1636" w:hanging="164"/>
      </w:pPr>
      <w:rPr>
        <w:lang w:val="uk-UA" w:eastAsia="en-US" w:bidi="ar-SA"/>
      </w:rPr>
    </w:lvl>
    <w:lvl w:ilvl="5" w:tplc="F6D015BE">
      <w:numFmt w:val="bullet"/>
      <w:lvlText w:val="•"/>
      <w:lvlJc w:val="left"/>
      <w:pPr>
        <w:ind w:left="1975" w:hanging="164"/>
      </w:pPr>
      <w:rPr>
        <w:lang w:val="uk-UA" w:eastAsia="en-US" w:bidi="ar-SA"/>
      </w:rPr>
    </w:lvl>
    <w:lvl w:ilvl="6" w:tplc="5846D4DA">
      <w:numFmt w:val="bullet"/>
      <w:lvlText w:val="•"/>
      <w:lvlJc w:val="left"/>
      <w:pPr>
        <w:ind w:left="2314" w:hanging="164"/>
      </w:pPr>
      <w:rPr>
        <w:lang w:val="uk-UA" w:eastAsia="en-US" w:bidi="ar-SA"/>
      </w:rPr>
    </w:lvl>
    <w:lvl w:ilvl="7" w:tplc="5614B94A">
      <w:numFmt w:val="bullet"/>
      <w:lvlText w:val="•"/>
      <w:lvlJc w:val="left"/>
      <w:pPr>
        <w:ind w:left="2653" w:hanging="164"/>
      </w:pPr>
      <w:rPr>
        <w:lang w:val="uk-UA" w:eastAsia="en-US" w:bidi="ar-SA"/>
      </w:rPr>
    </w:lvl>
    <w:lvl w:ilvl="8" w:tplc="E75C3B04">
      <w:numFmt w:val="bullet"/>
      <w:lvlText w:val="•"/>
      <w:lvlJc w:val="left"/>
      <w:pPr>
        <w:ind w:left="2992" w:hanging="164"/>
      </w:pPr>
      <w:rPr>
        <w:lang w:val="uk-UA" w:eastAsia="en-US" w:bidi="ar-SA"/>
      </w:rPr>
    </w:lvl>
  </w:abstractNum>
  <w:abstractNum w:abstractNumId="1">
    <w:nsid w:val="214627AC"/>
    <w:multiLevelType w:val="hybridMultilevel"/>
    <w:tmpl w:val="22464D2A"/>
    <w:lvl w:ilvl="0" w:tplc="947CFBF2">
      <w:start w:val="2"/>
      <w:numFmt w:val="decimal"/>
      <w:lvlText w:val="%1"/>
      <w:lvlJc w:val="left"/>
      <w:pPr>
        <w:ind w:left="1418" w:hanging="492"/>
      </w:pPr>
      <w:rPr>
        <w:lang w:val="uk-UA" w:eastAsia="en-US" w:bidi="ar-SA"/>
      </w:rPr>
    </w:lvl>
    <w:lvl w:ilvl="1" w:tplc="0414E1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9487B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712E60C">
      <w:numFmt w:val="bullet"/>
      <w:lvlText w:val="•"/>
      <w:lvlJc w:val="left"/>
      <w:pPr>
        <w:ind w:left="3406" w:hanging="701"/>
      </w:pPr>
      <w:rPr>
        <w:lang w:val="uk-UA" w:eastAsia="en-US" w:bidi="ar-SA"/>
      </w:rPr>
    </w:lvl>
    <w:lvl w:ilvl="4" w:tplc="192027F6">
      <w:numFmt w:val="bullet"/>
      <w:lvlText w:val="•"/>
      <w:lvlJc w:val="left"/>
      <w:pPr>
        <w:ind w:left="4300" w:hanging="701"/>
      </w:pPr>
      <w:rPr>
        <w:lang w:val="uk-UA" w:eastAsia="en-US" w:bidi="ar-SA"/>
      </w:rPr>
    </w:lvl>
    <w:lvl w:ilvl="5" w:tplc="8C4E010E">
      <w:numFmt w:val="bullet"/>
      <w:lvlText w:val="•"/>
      <w:lvlJc w:val="left"/>
      <w:pPr>
        <w:ind w:left="5193" w:hanging="701"/>
      </w:pPr>
      <w:rPr>
        <w:lang w:val="uk-UA" w:eastAsia="en-US" w:bidi="ar-SA"/>
      </w:rPr>
    </w:lvl>
    <w:lvl w:ilvl="6" w:tplc="BE6E32CE">
      <w:numFmt w:val="bullet"/>
      <w:lvlText w:val="•"/>
      <w:lvlJc w:val="left"/>
      <w:pPr>
        <w:ind w:left="6086" w:hanging="701"/>
      </w:pPr>
      <w:rPr>
        <w:lang w:val="uk-UA" w:eastAsia="en-US" w:bidi="ar-SA"/>
      </w:rPr>
    </w:lvl>
    <w:lvl w:ilvl="7" w:tplc="676AB44A">
      <w:numFmt w:val="bullet"/>
      <w:lvlText w:val="•"/>
      <w:lvlJc w:val="left"/>
      <w:pPr>
        <w:ind w:left="6980" w:hanging="701"/>
      </w:pPr>
      <w:rPr>
        <w:lang w:val="uk-UA" w:eastAsia="en-US" w:bidi="ar-SA"/>
      </w:rPr>
    </w:lvl>
    <w:lvl w:ilvl="8" w:tplc="2E7EE01A">
      <w:numFmt w:val="bullet"/>
      <w:lvlText w:val="•"/>
      <w:lvlJc w:val="left"/>
      <w:pPr>
        <w:ind w:left="7873" w:hanging="701"/>
      </w:pPr>
      <w:rPr>
        <w:lang w:val="uk-UA" w:eastAsia="en-US" w:bidi="ar-SA"/>
      </w:rPr>
    </w:lvl>
  </w:abstractNum>
  <w:abstractNum w:abstractNumId="2">
    <w:nsid w:val="3D750435"/>
    <w:multiLevelType w:val="hybridMultilevel"/>
    <w:tmpl w:val="05EA5A54"/>
    <w:lvl w:ilvl="0" w:tplc="C5606BEE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622162">
      <w:numFmt w:val="bullet"/>
      <w:lvlText w:val="•"/>
      <w:lvlJc w:val="left"/>
      <w:pPr>
        <w:ind w:left="645" w:hanging="164"/>
      </w:pPr>
      <w:rPr>
        <w:lang w:val="uk-UA" w:eastAsia="en-US" w:bidi="ar-SA"/>
      </w:rPr>
    </w:lvl>
    <w:lvl w:ilvl="2" w:tplc="03CC01C2">
      <w:numFmt w:val="bullet"/>
      <w:lvlText w:val="•"/>
      <w:lvlJc w:val="left"/>
      <w:pPr>
        <w:ind w:left="1030" w:hanging="164"/>
      </w:pPr>
      <w:rPr>
        <w:lang w:val="uk-UA" w:eastAsia="en-US" w:bidi="ar-SA"/>
      </w:rPr>
    </w:lvl>
    <w:lvl w:ilvl="3" w:tplc="D70455E8">
      <w:numFmt w:val="bullet"/>
      <w:lvlText w:val="•"/>
      <w:lvlJc w:val="left"/>
      <w:pPr>
        <w:ind w:left="1415" w:hanging="164"/>
      </w:pPr>
      <w:rPr>
        <w:lang w:val="uk-UA" w:eastAsia="en-US" w:bidi="ar-SA"/>
      </w:rPr>
    </w:lvl>
    <w:lvl w:ilvl="4" w:tplc="2D0A23D6">
      <w:numFmt w:val="bullet"/>
      <w:lvlText w:val="•"/>
      <w:lvlJc w:val="left"/>
      <w:pPr>
        <w:ind w:left="1801" w:hanging="164"/>
      </w:pPr>
      <w:rPr>
        <w:lang w:val="uk-UA" w:eastAsia="en-US" w:bidi="ar-SA"/>
      </w:rPr>
    </w:lvl>
    <w:lvl w:ilvl="5" w:tplc="27E4D10E">
      <w:numFmt w:val="bullet"/>
      <w:lvlText w:val="•"/>
      <w:lvlJc w:val="left"/>
      <w:pPr>
        <w:ind w:left="2186" w:hanging="164"/>
      </w:pPr>
      <w:rPr>
        <w:lang w:val="uk-UA" w:eastAsia="en-US" w:bidi="ar-SA"/>
      </w:rPr>
    </w:lvl>
    <w:lvl w:ilvl="6" w:tplc="8368C502">
      <w:numFmt w:val="bullet"/>
      <w:lvlText w:val="•"/>
      <w:lvlJc w:val="left"/>
      <w:pPr>
        <w:ind w:left="2571" w:hanging="164"/>
      </w:pPr>
      <w:rPr>
        <w:lang w:val="uk-UA" w:eastAsia="en-US" w:bidi="ar-SA"/>
      </w:rPr>
    </w:lvl>
    <w:lvl w:ilvl="7" w:tplc="725A4B9E">
      <w:numFmt w:val="bullet"/>
      <w:lvlText w:val="•"/>
      <w:lvlJc w:val="left"/>
      <w:pPr>
        <w:ind w:left="2957" w:hanging="164"/>
      </w:pPr>
      <w:rPr>
        <w:lang w:val="uk-UA" w:eastAsia="en-US" w:bidi="ar-SA"/>
      </w:rPr>
    </w:lvl>
    <w:lvl w:ilvl="8" w:tplc="4842A1DA">
      <w:numFmt w:val="bullet"/>
      <w:lvlText w:val="•"/>
      <w:lvlJc w:val="left"/>
      <w:pPr>
        <w:ind w:left="3342" w:hanging="164"/>
      </w:pPr>
      <w:rPr>
        <w:lang w:val="uk-UA" w:eastAsia="en-US" w:bidi="ar-SA"/>
      </w:rPr>
    </w:lvl>
  </w:abstractNum>
  <w:abstractNum w:abstractNumId="3">
    <w:nsid w:val="5E0E1976"/>
    <w:multiLevelType w:val="hybridMultilevel"/>
    <w:tmpl w:val="D1F0614A"/>
    <w:lvl w:ilvl="0" w:tplc="D8F85422">
      <w:numFmt w:val="bullet"/>
      <w:lvlText w:val="–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EC14E0">
      <w:numFmt w:val="bullet"/>
      <w:lvlText w:val="•"/>
      <w:lvlJc w:val="left"/>
      <w:pPr>
        <w:ind w:left="1164" w:hanging="329"/>
      </w:pPr>
      <w:rPr>
        <w:lang w:val="uk-UA" w:eastAsia="en-US" w:bidi="ar-SA"/>
      </w:rPr>
    </w:lvl>
    <w:lvl w:ilvl="2" w:tplc="52DE9FE4">
      <w:numFmt w:val="bullet"/>
      <w:lvlText w:val="•"/>
      <w:lvlJc w:val="left"/>
      <w:pPr>
        <w:ind w:left="2108" w:hanging="329"/>
      </w:pPr>
      <w:rPr>
        <w:lang w:val="uk-UA" w:eastAsia="en-US" w:bidi="ar-SA"/>
      </w:rPr>
    </w:lvl>
    <w:lvl w:ilvl="3" w:tplc="5720DFD4">
      <w:numFmt w:val="bullet"/>
      <w:lvlText w:val="•"/>
      <w:lvlJc w:val="left"/>
      <w:pPr>
        <w:ind w:left="3052" w:hanging="329"/>
      </w:pPr>
      <w:rPr>
        <w:lang w:val="uk-UA" w:eastAsia="en-US" w:bidi="ar-SA"/>
      </w:rPr>
    </w:lvl>
    <w:lvl w:ilvl="4" w:tplc="7D28DB7A">
      <w:numFmt w:val="bullet"/>
      <w:lvlText w:val="•"/>
      <w:lvlJc w:val="left"/>
      <w:pPr>
        <w:ind w:left="3996" w:hanging="329"/>
      </w:pPr>
      <w:rPr>
        <w:lang w:val="uk-UA" w:eastAsia="en-US" w:bidi="ar-SA"/>
      </w:rPr>
    </w:lvl>
    <w:lvl w:ilvl="5" w:tplc="85407982">
      <w:numFmt w:val="bullet"/>
      <w:lvlText w:val="•"/>
      <w:lvlJc w:val="left"/>
      <w:pPr>
        <w:ind w:left="4940" w:hanging="329"/>
      </w:pPr>
      <w:rPr>
        <w:lang w:val="uk-UA" w:eastAsia="en-US" w:bidi="ar-SA"/>
      </w:rPr>
    </w:lvl>
    <w:lvl w:ilvl="6" w:tplc="FC52934A">
      <w:numFmt w:val="bullet"/>
      <w:lvlText w:val="•"/>
      <w:lvlJc w:val="left"/>
      <w:pPr>
        <w:ind w:left="5884" w:hanging="329"/>
      </w:pPr>
      <w:rPr>
        <w:lang w:val="uk-UA" w:eastAsia="en-US" w:bidi="ar-SA"/>
      </w:rPr>
    </w:lvl>
    <w:lvl w:ilvl="7" w:tplc="0D189214">
      <w:numFmt w:val="bullet"/>
      <w:lvlText w:val="•"/>
      <w:lvlJc w:val="left"/>
      <w:pPr>
        <w:ind w:left="6828" w:hanging="329"/>
      </w:pPr>
      <w:rPr>
        <w:lang w:val="uk-UA" w:eastAsia="en-US" w:bidi="ar-SA"/>
      </w:rPr>
    </w:lvl>
    <w:lvl w:ilvl="8" w:tplc="86ACDC98">
      <w:numFmt w:val="bullet"/>
      <w:lvlText w:val="•"/>
      <w:lvlJc w:val="left"/>
      <w:pPr>
        <w:ind w:left="7772" w:hanging="329"/>
      </w:pPr>
      <w:rPr>
        <w:lang w:val="uk-UA" w:eastAsia="en-US" w:bidi="ar-SA"/>
      </w:rPr>
    </w:lvl>
  </w:abstractNum>
  <w:abstractNum w:abstractNumId="4">
    <w:nsid w:val="72A85F50"/>
    <w:multiLevelType w:val="hybridMultilevel"/>
    <w:tmpl w:val="7AEC20C0"/>
    <w:lvl w:ilvl="0" w:tplc="F10E2FD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BE4BF6">
      <w:numFmt w:val="bullet"/>
      <w:lvlText w:val="•"/>
      <w:lvlJc w:val="left"/>
      <w:pPr>
        <w:ind w:left="1164" w:hanging="164"/>
      </w:pPr>
      <w:rPr>
        <w:lang w:val="uk-UA" w:eastAsia="en-US" w:bidi="ar-SA"/>
      </w:rPr>
    </w:lvl>
    <w:lvl w:ilvl="2" w:tplc="6D18A288">
      <w:numFmt w:val="bullet"/>
      <w:lvlText w:val="•"/>
      <w:lvlJc w:val="left"/>
      <w:pPr>
        <w:ind w:left="2108" w:hanging="164"/>
      </w:pPr>
      <w:rPr>
        <w:lang w:val="uk-UA" w:eastAsia="en-US" w:bidi="ar-SA"/>
      </w:rPr>
    </w:lvl>
    <w:lvl w:ilvl="3" w:tplc="B2B6A60A">
      <w:numFmt w:val="bullet"/>
      <w:lvlText w:val="•"/>
      <w:lvlJc w:val="left"/>
      <w:pPr>
        <w:ind w:left="3052" w:hanging="164"/>
      </w:pPr>
      <w:rPr>
        <w:lang w:val="uk-UA" w:eastAsia="en-US" w:bidi="ar-SA"/>
      </w:rPr>
    </w:lvl>
    <w:lvl w:ilvl="4" w:tplc="56A0B07C">
      <w:numFmt w:val="bullet"/>
      <w:lvlText w:val="•"/>
      <w:lvlJc w:val="left"/>
      <w:pPr>
        <w:ind w:left="3996" w:hanging="164"/>
      </w:pPr>
      <w:rPr>
        <w:lang w:val="uk-UA" w:eastAsia="en-US" w:bidi="ar-SA"/>
      </w:rPr>
    </w:lvl>
    <w:lvl w:ilvl="5" w:tplc="32FA06F2">
      <w:numFmt w:val="bullet"/>
      <w:lvlText w:val="•"/>
      <w:lvlJc w:val="left"/>
      <w:pPr>
        <w:ind w:left="4940" w:hanging="164"/>
      </w:pPr>
      <w:rPr>
        <w:lang w:val="uk-UA" w:eastAsia="en-US" w:bidi="ar-SA"/>
      </w:rPr>
    </w:lvl>
    <w:lvl w:ilvl="6" w:tplc="B89CC8A0">
      <w:numFmt w:val="bullet"/>
      <w:lvlText w:val="•"/>
      <w:lvlJc w:val="left"/>
      <w:pPr>
        <w:ind w:left="5884" w:hanging="164"/>
      </w:pPr>
      <w:rPr>
        <w:lang w:val="uk-UA" w:eastAsia="en-US" w:bidi="ar-SA"/>
      </w:rPr>
    </w:lvl>
    <w:lvl w:ilvl="7" w:tplc="3E107088">
      <w:numFmt w:val="bullet"/>
      <w:lvlText w:val="•"/>
      <w:lvlJc w:val="left"/>
      <w:pPr>
        <w:ind w:left="6828" w:hanging="164"/>
      </w:pPr>
      <w:rPr>
        <w:lang w:val="uk-UA" w:eastAsia="en-US" w:bidi="ar-SA"/>
      </w:rPr>
    </w:lvl>
    <w:lvl w:ilvl="8" w:tplc="93DCFB00">
      <w:numFmt w:val="bullet"/>
      <w:lvlText w:val="•"/>
      <w:lvlJc w:val="left"/>
      <w:pPr>
        <w:ind w:left="7772" w:hanging="164"/>
      </w:pPr>
      <w:rPr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64F"/>
    <w:rsid w:val="00036282"/>
    <w:rsid w:val="0008392C"/>
    <w:rsid w:val="000A399B"/>
    <w:rsid w:val="000B64F8"/>
    <w:rsid w:val="000D23C2"/>
    <w:rsid w:val="00170D4A"/>
    <w:rsid w:val="00197CC1"/>
    <w:rsid w:val="001E35AD"/>
    <w:rsid w:val="002011D8"/>
    <w:rsid w:val="00220DB1"/>
    <w:rsid w:val="00296F51"/>
    <w:rsid w:val="003040DE"/>
    <w:rsid w:val="003274A2"/>
    <w:rsid w:val="0036491B"/>
    <w:rsid w:val="003D6FCC"/>
    <w:rsid w:val="00434DE9"/>
    <w:rsid w:val="00442864"/>
    <w:rsid w:val="0044641C"/>
    <w:rsid w:val="00491DAE"/>
    <w:rsid w:val="004A3988"/>
    <w:rsid w:val="004C4FA1"/>
    <w:rsid w:val="00505F5F"/>
    <w:rsid w:val="00555618"/>
    <w:rsid w:val="00563045"/>
    <w:rsid w:val="005A1571"/>
    <w:rsid w:val="005B118B"/>
    <w:rsid w:val="005C25E7"/>
    <w:rsid w:val="005F42AA"/>
    <w:rsid w:val="00600584"/>
    <w:rsid w:val="00603EF6"/>
    <w:rsid w:val="006809CE"/>
    <w:rsid w:val="00692AC5"/>
    <w:rsid w:val="006C10A0"/>
    <w:rsid w:val="006F2E6E"/>
    <w:rsid w:val="00730A2A"/>
    <w:rsid w:val="0075508E"/>
    <w:rsid w:val="007D67BF"/>
    <w:rsid w:val="007E7D1E"/>
    <w:rsid w:val="00873F3C"/>
    <w:rsid w:val="0088180A"/>
    <w:rsid w:val="008F3F0B"/>
    <w:rsid w:val="008F55F2"/>
    <w:rsid w:val="00924384"/>
    <w:rsid w:val="00997202"/>
    <w:rsid w:val="009F0F83"/>
    <w:rsid w:val="00A213BC"/>
    <w:rsid w:val="00A2797C"/>
    <w:rsid w:val="00A46915"/>
    <w:rsid w:val="00A47DD3"/>
    <w:rsid w:val="00A94678"/>
    <w:rsid w:val="00AD6796"/>
    <w:rsid w:val="00AF7141"/>
    <w:rsid w:val="00B145D4"/>
    <w:rsid w:val="00B54F56"/>
    <w:rsid w:val="00B6685B"/>
    <w:rsid w:val="00B73CBC"/>
    <w:rsid w:val="00BB6C0D"/>
    <w:rsid w:val="00BC0D3B"/>
    <w:rsid w:val="00C06BE1"/>
    <w:rsid w:val="00C11302"/>
    <w:rsid w:val="00C41E08"/>
    <w:rsid w:val="00C54504"/>
    <w:rsid w:val="00CE6CEB"/>
    <w:rsid w:val="00D0407B"/>
    <w:rsid w:val="00D2071B"/>
    <w:rsid w:val="00D76C3D"/>
    <w:rsid w:val="00DD63B9"/>
    <w:rsid w:val="00E17B4E"/>
    <w:rsid w:val="00E3164F"/>
    <w:rsid w:val="00E94236"/>
    <w:rsid w:val="00F0020A"/>
    <w:rsid w:val="00F24B63"/>
    <w:rsid w:val="00F4440F"/>
    <w:rsid w:val="00F716BC"/>
    <w:rsid w:val="00F802C6"/>
    <w:rsid w:val="00FE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4440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4440F"/>
    <w:rPr>
      <w:rFonts w:eastAsia="Times New Roman" w:cs="Times New Roman"/>
      <w:szCs w:val="28"/>
      <w:lang w:val="uk-UA"/>
    </w:rPr>
  </w:style>
  <w:style w:type="paragraph" w:styleId="a5">
    <w:name w:val="List Paragraph"/>
    <w:basedOn w:val="a"/>
    <w:uiPriority w:val="1"/>
    <w:qFormat/>
    <w:rsid w:val="00F4440F"/>
    <w:pPr>
      <w:widowControl w:val="0"/>
      <w:autoSpaceDE w:val="0"/>
      <w:autoSpaceDN w:val="0"/>
      <w:spacing w:after="0" w:line="240" w:lineRule="auto"/>
      <w:ind w:left="218" w:firstLine="708"/>
      <w:jc w:val="both"/>
    </w:pPr>
    <w:rPr>
      <w:rFonts w:eastAsia="Times New Roman" w:cs="Times New Roman"/>
      <w:sz w:val="22"/>
      <w:lang w:val="uk-UA"/>
    </w:rPr>
  </w:style>
  <w:style w:type="paragraph" w:customStyle="1" w:styleId="Style182">
    <w:name w:val="Style182"/>
    <w:basedOn w:val="a"/>
    <w:rsid w:val="00F802C6"/>
    <w:pPr>
      <w:widowControl w:val="0"/>
      <w:autoSpaceDE w:val="0"/>
      <w:autoSpaceDN w:val="0"/>
      <w:adjustRightInd w:val="0"/>
      <w:spacing w:after="0" w:line="388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02C6"/>
  </w:style>
  <w:style w:type="paragraph" w:customStyle="1" w:styleId="TableParagraph">
    <w:name w:val="Table Paragraph"/>
    <w:basedOn w:val="a"/>
    <w:uiPriority w:val="1"/>
    <w:qFormat/>
    <w:rsid w:val="007E7D1E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uk-UA"/>
    </w:rPr>
  </w:style>
  <w:style w:type="table" w:customStyle="1" w:styleId="TableNormal">
    <w:name w:val="Table Normal"/>
    <w:uiPriority w:val="2"/>
    <w:semiHidden/>
    <w:qFormat/>
    <w:rsid w:val="007E7D1E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A213BC"/>
    <w:pPr>
      <w:widowControl w:val="0"/>
      <w:autoSpaceDE w:val="0"/>
      <w:autoSpaceDN w:val="0"/>
      <w:spacing w:before="103" w:after="0" w:line="240" w:lineRule="auto"/>
      <w:ind w:left="494"/>
      <w:outlineLvl w:val="2"/>
    </w:pPr>
    <w:rPr>
      <w:rFonts w:eastAsia="Times New Roman" w:cs="Times New Roman"/>
      <w:b/>
      <w:bCs/>
      <w:i/>
      <w:szCs w:val="28"/>
      <w:lang w:val="uk-UA"/>
    </w:rPr>
  </w:style>
  <w:style w:type="paragraph" w:customStyle="1" w:styleId="p5">
    <w:name w:val="p5"/>
    <w:basedOn w:val="a"/>
    <w:rsid w:val="004428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42864"/>
  </w:style>
  <w:style w:type="paragraph" w:customStyle="1" w:styleId="rvps2">
    <w:name w:val="rvps2"/>
    <w:basedOn w:val="a"/>
    <w:rsid w:val="004C4F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70">
    <w:name w:val="Font Style270"/>
    <w:basedOn w:val="a0"/>
    <w:rsid w:val="004C4FA1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character" w:customStyle="1" w:styleId="FontStyle251">
    <w:name w:val="Font Style251"/>
    <w:basedOn w:val="a0"/>
    <w:rsid w:val="00C11302"/>
    <w:rPr>
      <w:rFonts w:ascii="Times New Roman" w:hAnsi="Times New Roman" w:cs="Times New Roman" w:hint="default"/>
      <w:color w:val="000000"/>
      <w:sz w:val="30"/>
      <w:szCs w:val="30"/>
    </w:rPr>
  </w:style>
  <w:style w:type="paragraph" w:customStyle="1" w:styleId="Heading1">
    <w:name w:val="Heading 1"/>
    <w:basedOn w:val="a"/>
    <w:uiPriority w:val="1"/>
    <w:qFormat/>
    <w:rsid w:val="00C41E08"/>
    <w:pPr>
      <w:widowControl w:val="0"/>
      <w:autoSpaceDE w:val="0"/>
      <w:autoSpaceDN w:val="0"/>
      <w:spacing w:before="76" w:after="0" w:line="240" w:lineRule="auto"/>
      <w:ind w:left="1418"/>
      <w:outlineLvl w:val="1"/>
    </w:pPr>
    <w:rPr>
      <w:rFonts w:eastAsia="Times New Roman" w:cs="Times New Roman"/>
      <w:b/>
      <w:bCs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dcterms:created xsi:type="dcterms:W3CDTF">2021-02-24T10:06:00Z</dcterms:created>
  <dcterms:modified xsi:type="dcterms:W3CDTF">2021-02-27T11:59:00Z</dcterms:modified>
</cp:coreProperties>
</file>