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13" w:rsidRPr="00507538" w:rsidRDefault="00785E13" w:rsidP="00785E13">
      <w:pPr>
        <w:pStyle w:val="2"/>
        <w:jc w:val="center"/>
        <w:rPr>
          <w:rFonts w:ascii="Times New Roman" w:hAnsi="Times New Roman" w:cs="Times New Roman"/>
          <w:i/>
          <w:smallCaps/>
          <w:color w:val="auto"/>
          <w:sz w:val="28"/>
          <w:szCs w:val="28"/>
        </w:rPr>
      </w:pPr>
      <w:bookmarkStart w:id="0" w:name="_Toc37082442"/>
      <w:bookmarkStart w:id="1" w:name="_Toc37082469"/>
      <w:bookmarkStart w:id="2" w:name="_Toc37534735"/>
      <w:proofErr w:type="spellStart"/>
      <w:r w:rsidRPr="00507538">
        <w:rPr>
          <w:rFonts w:ascii="Times New Roman" w:hAnsi="Times New Roman" w:cs="Times New Roman"/>
          <w:i/>
          <w:smallCaps/>
          <w:color w:val="auto"/>
          <w:sz w:val="28"/>
          <w:szCs w:val="28"/>
        </w:rPr>
        <w:t>Практичне</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заняття</w:t>
      </w:r>
      <w:proofErr w:type="spellEnd"/>
      <w:r w:rsidRPr="00507538">
        <w:rPr>
          <w:rFonts w:ascii="Times New Roman" w:hAnsi="Times New Roman" w:cs="Times New Roman"/>
          <w:i/>
          <w:smallCaps/>
          <w:color w:val="auto"/>
          <w:sz w:val="28"/>
          <w:szCs w:val="28"/>
        </w:rPr>
        <w:t xml:space="preserve"> 8. </w:t>
      </w:r>
      <w:proofErr w:type="spellStart"/>
      <w:proofErr w:type="gramStart"/>
      <w:r w:rsidRPr="00507538">
        <w:rPr>
          <w:rFonts w:ascii="Times New Roman" w:hAnsi="Times New Roman" w:cs="Times New Roman"/>
          <w:i/>
          <w:smallCaps/>
          <w:color w:val="auto"/>
          <w:sz w:val="28"/>
          <w:szCs w:val="28"/>
        </w:rPr>
        <w:t>П</w:t>
      </w:r>
      <w:proofErr w:type="gramEnd"/>
      <w:r w:rsidRPr="00507538">
        <w:rPr>
          <w:rFonts w:ascii="Times New Roman" w:hAnsi="Times New Roman" w:cs="Times New Roman"/>
          <w:i/>
          <w:smallCaps/>
          <w:color w:val="auto"/>
          <w:sz w:val="28"/>
          <w:szCs w:val="28"/>
        </w:rPr>
        <w:t>ідготовка</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анотації</w:t>
      </w:r>
      <w:proofErr w:type="spellEnd"/>
      <w:r w:rsidRPr="00507538">
        <w:rPr>
          <w:rFonts w:ascii="Times New Roman" w:hAnsi="Times New Roman" w:cs="Times New Roman"/>
          <w:i/>
          <w:smallCaps/>
          <w:color w:val="auto"/>
          <w:sz w:val="28"/>
          <w:szCs w:val="28"/>
        </w:rPr>
        <w:t xml:space="preserve"> за </w:t>
      </w:r>
      <w:proofErr w:type="spellStart"/>
      <w:r w:rsidRPr="00507538">
        <w:rPr>
          <w:rFonts w:ascii="Times New Roman" w:hAnsi="Times New Roman" w:cs="Times New Roman"/>
          <w:i/>
          <w:smallCaps/>
          <w:color w:val="auto"/>
          <w:sz w:val="28"/>
          <w:szCs w:val="28"/>
        </w:rPr>
        <w:t>міжнародним</w:t>
      </w:r>
      <w:proofErr w:type="spellEnd"/>
      <w:r w:rsidRPr="00507538">
        <w:rPr>
          <w:rFonts w:ascii="Times New Roman" w:hAnsi="Times New Roman" w:cs="Times New Roman"/>
          <w:i/>
          <w:smallCaps/>
          <w:color w:val="auto"/>
          <w:sz w:val="28"/>
          <w:szCs w:val="28"/>
        </w:rPr>
        <w:t xml:space="preserve"> стандартом </w:t>
      </w:r>
      <w:proofErr w:type="spellStart"/>
      <w:r w:rsidRPr="00507538">
        <w:rPr>
          <w:rFonts w:ascii="Times New Roman" w:hAnsi="Times New Roman" w:cs="Times New Roman"/>
          <w:i/>
          <w:smallCaps/>
          <w:color w:val="auto"/>
          <w:sz w:val="28"/>
          <w:szCs w:val="28"/>
        </w:rPr>
        <w:t>IMRAD</w:t>
      </w:r>
      <w:bookmarkEnd w:id="0"/>
      <w:bookmarkEnd w:id="1"/>
      <w:bookmarkEnd w:id="2"/>
      <w:proofErr w:type="spellEnd"/>
    </w:p>
    <w:p w:rsidR="00785E13" w:rsidRPr="00F428BD" w:rsidRDefault="00785E13" w:rsidP="00785E13">
      <w:pPr>
        <w:widowControl w:val="0"/>
        <w:shd w:val="clear" w:color="auto" w:fill="FFFFFF"/>
        <w:spacing w:after="240"/>
        <w:ind w:firstLine="709"/>
        <w:jc w:val="both"/>
        <w:rPr>
          <w:color w:val="000000"/>
          <w:sz w:val="28"/>
          <w:szCs w:val="28"/>
          <w:lang w:val="uk-UA"/>
        </w:rPr>
      </w:pPr>
      <w:r w:rsidRPr="0045310C">
        <w:rPr>
          <w:b/>
          <w:color w:val="000000"/>
          <w:sz w:val="28"/>
          <w:szCs w:val="28"/>
          <w:lang w:val="uk-UA"/>
        </w:rPr>
        <w:t>Мета:</w:t>
      </w:r>
      <w:r w:rsidRPr="0045310C">
        <w:rPr>
          <w:color w:val="000000"/>
          <w:sz w:val="28"/>
          <w:szCs w:val="28"/>
          <w:lang w:val="uk-UA"/>
        </w:rPr>
        <w:t xml:space="preserve"> </w:t>
      </w:r>
      <w:r>
        <w:rPr>
          <w:color w:val="000000"/>
          <w:sz w:val="28"/>
          <w:szCs w:val="28"/>
          <w:lang w:val="uk-UA"/>
        </w:rPr>
        <w:t>ознайомити</w:t>
      </w:r>
      <w:r w:rsidRPr="000D6C98">
        <w:rPr>
          <w:color w:val="000000"/>
          <w:sz w:val="28"/>
          <w:szCs w:val="28"/>
        </w:rPr>
        <w:t xml:space="preserve"> </w:t>
      </w:r>
      <w:r>
        <w:rPr>
          <w:color w:val="000000"/>
          <w:sz w:val="28"/>
          <w:szCs w:val="28"/>
          <w:lang w:val="uk-UA"/>
        </w:rPr>
        <w:t xml:space="preserve">студентів з особливостями підготовки </w:t>
      </w:r>
      <w:r w:rsidRPr="00B64357">
        <w:rPr>
          <w:color w:val="000000"/>
          <w:sz w:val="28"/>
          <w:szCs w:val="28"/>
          <w:lang w:val="uk-UA"/>
        </w:rPr>
        <w:t xml:space="preserve">анотації за міжнародним стандартом </w:t>
      </w:r>
      <w:proofErr w:type="spellStart"/>
      <w:r>
        <w:rPr>
          <w:color w:val="000000"/>
          <w:sz w:val="28"/>
          <w:szCs w:val="28"/>
          <w:lang w:val="en-GB"/>
        </w:rPr>
        <w:t>IMRAD</w:t>
      </w:r>
      <w:proofErr w:type="spellEnd"/>
      <w:r>
        <w:rPr>
          <w:color w:val="000000"/>
          <w:sz w:val="28"/>
          <w:szCs w:val="28"/>
          <w:lang w:val="uk-UA"/>
        </w:rPr>
        <w:t>.</w:t>
      </w:r>
    </w:p>
    <w:p w:rsidR="00785E13" w:rsidRDefault="00785E13" w:rsidP="00785E13">
      <w:pPr>
        <w:widowControl w:val="0"/>
        <w:shd w:val="clear" w:color="auto" w:fill="FFFFFF"/>
        <w:spacing w:after="240"/>
        <w:ind w:firstLine="709"/>
        <w:jc w:val="both"/>
        <w:rPr>
          <w:color w:val="000000"/>
          <w:sz w:val="28"/>
          <w:szCs w:val="28"/>
          <w:lang w:val="uk-UA"/>
        </w:rPr>
      </w:pPr>
      <w:r w:rsidRPr="0045310C">
        <w:rPr>
          <w:b/>
          <w:color w:val="000000"/>
          <w:sz w:val="28"/>
          <w:szCs w:val="28"/>
          <w:lang w:val="uk-UA"/>
        </w:rPr>
        <w:t>Матеріали та обладнання:</w:t>
      </w:r>
      <w:r w:rsidRPr="0045310C">
        <w:rPr>
          <w:color w:val="000000"/>
          <w:sz w:val="28"/>
          <w:szCs w:val="28"/>
          <w:lang w:val="uk-UA"/>
        </w:rPr>
        <w:t xml:space="preserve"> </w:t>
      </w:r>
      <w:r>
        <w:rPr>
          <w:color w:val="000000"/>
          <w:sz w:val="28"/>
          <w:szCs w:val="28"/>
          <w:lang w:val="uk-UA"/>
        </w:rPr>
        <w:t xml:space="preserve">комп’ютери із доступом до мережі Інтернет та підключенням до бази даних </w:t>
      </w:r>
      <w:r>
        <w:rPr>
          <w:color w:val="000000"/>
          <w:sz w:val="28"/>
          <w:szCs w:val="28"/>
          <w:lang w:val="en-GB"/>
        </w:rPr>
        <w:t>SCOPUS</w:t>
      </w:r>
      <w:r>
        <w:rPr>
          <w:color w:val="000000"/>
          <w:sz w:val="28"/>
          <w:szCs w:val="28"/>
          <w:lang w:val="uk-UA"/>
        </w:rPr>
        <w:t xml:space="preserve"> та</w:t>
      </w:r>
      <w:r w:rsidRPr="003C5F32">
        <w:rPr>
          <w:color w:val="000000"/>
          <w:sz w:val="28"/>
          <w:szCs w:val="28"/>
        </w:rPr>
        <w:t xml:space="preserve"> </w:t>
      </w:r>
      <w:r>
        <w:rPr>
          <w:color w:val="000000"/>
          <w:sz w:val="28"/>
          <w:szCs w:val="28"/>
          <w:lang w:val="en-GB"/>
        </w:rPr>
        <w:t>Web</w:t>
      </w:r>
      <w:r w:rsidRPr="003C5F32">
        <w:rPr>
          <w:color w:val="000000"/>
          <w:sz w:val="28"/>
          <w:szCs w:val="28"/>
        </w:rPr>
        <w:t xml:space="preserve"> </w:t>
      </w:r>
      <w:r>
        <w:rPr>
          <w:color w:val="000000"/>
          <w:sz w:val="28"/>
          <w:szCs w:val="28"/>
          <w:lang w:val="en-GB"/>
        </w:rPr>
        <w:t>of</w:t>
      </w:r>
      <w:r w:rsidRPr="003C5F32">
        <w:rPr>
          <w:color w:val="000000"/>
          <w:sz w:val="28"/>
          <w:szCs w:val="28"/>
        </w:rPr>
        <w:t xml:space="preserve"> </w:t>
      </w:r>
      <w:r>
        <w:rPr>
          <w:color w:val="000000"/>
          <w:sz w:val="28"/>
          <w:szCs w:val="28"/>
          <w:lang w:val="en-GB"/>
        </w:rPr>
        <w:t>Science</w:t>
      </w:r>
      <w:r>
        <w:rPr>
          <w:color w:val="000000"/>
          <w:sz w:val="28"/>
          <w:szCs w:val="28"/>
          <w:lang w:val="uk-UA"/>
        </w:rPr>
        <w:t xml:space="preserve">, зошит для практичних занять, словники, анотації до опублікованих наукових праць, </w:t>
      </w:r>
      <w:r>
        <w:rPr>
          <w:bCs/>
          <w:sz w:val="28"/>
          <w:szCs w:val="28"/>
          <w:lang w:val="uk-UA"/>
        </w:rPr>
        <w:t>словники сталих академічних виразів</w:t>
      </w:r>
      <w:r w:rsidRPr="0045310C">
        <w:rPr>
          <w:color w:val="000000"/>
          <w:sz w:val="28"/>
          <w:szCs w:val="28"/>
          <w:lang w:val="uk-UA"/>
        </w:rPr>
        <w:t>.</w:t>
      </w:r>
    </w:p>
    <w:p w:rsidR="00785E13" w:rsidRPr="0045310C" w:rsidRDefault="00785E13" w:rsidP="00785E13">
      <w:pPr>
        <w:widowControl w:val="0"/>
        <w:shd w:val="clear" w:color="auto" w:fill="FFFFFF"/>
        <w:spacing w:after="240"/>
        <w:ind w:firstLine="709"/>
        <w:jc w:val="center"/>
        <w:rPr>
          <w:b/>
          <w:sz w:val="28"/>
          <w:szCs w:val="28"/>
          <w:lang w:val="uk-UA"/>
        </w:rPr>
      </w:pPr>
      <w:r w:rsidRPr="0045310C">
        <w:rPr>
          <w:b/>
          <w:sz w:val="28"/>
          <w:szCs w:val="28"/>
          <w:lang w:val="uk-UA"/>
        </w:rPr>
        <w:t>Хід роботи</w:t>
      </w:r>
    </w:p>
    <w:p w:rsidR="00785E13" w:rsidRDefault="00785E13" w:rsidP="00785E13">
      <w:pPr>
        <w:ind w:firstLine="709"/>
        <w:jc w:val="both"/>
        <w:rPr>
          <w:bCs/>
          <w:sz w:val="28"/>
          <w:szCs w:val="28"/>
          <w:lang w:val="uk-UA"/>
        </w:rPr>
      </w:pPr>
      <w:r w:rsidRPr="00874C39">
        <w:rPr>
          <w:b/>
          <w:bCs/>
          <w:smallCaps/>
          <w:sz w:val="28"/>
          <w:szCs w:val="28"/>
          <w:lang w:val="uk-UA"/>
        </w:rPr>
        <w:t>Завдання 1.</w:t>
      </w:r>
      <w:r>
        <w:rPr>
          <w:b/>
          <w:bCs/>
          <w:sz w:val="28"/>
          <w:szCs w:val="28"/>
          <w:lang w:val="uk-UA"/>
        </w:rPr>
        <w:t xml:space="preserve"> </w:t>
      </w:r>
      <w:r w:rsidRPr="003C5F32">
        <w:rPr>
          <w:bCs/>
          <w:sz w:val="28"/>
          <w:szCs w:val="28"/>
          <w:lang w:val="uk-UA"/>
        </w:rPr>
        <w:t xml:space="preserve">Провести огляд опублікованих праць виданих у </w:t>
      </w:r>
      <w:r>
        <w:rPr>
          <w:bCs/>
          <w:sz w:val="28"/>
          <w:szCs w:val="28"/>
          <w:lang w:val="uk-UA"/>
        </w:rPr>
        <w:t xml:space="preserve">індексованих </w:t>
      </w:r>
      <w:r w:rsidRPr="003C5F32">
        <w:rPr>
          <w:bCs/>
          <w:sz w:val="28"/>
          <w:szCs w:val="28"/>
          <w:lang w:val="uk-UA"/>
        </w:rPr>
        <w:t xml:space="preserve">міжнародних журналах та </w:t>
      </w:r>
      <w:r>
        <w:rPr>
          <w:bCs/>
          <w:sz w:val="28"/>
          <w:szCs w:val="28"/>
          <w:lang w:val="uk-UA"/>
        </w:rPr>
        <w:t>надати</w:t>
      </w:r>
      <w:r w:rsidRPr="003C5F32">
        <w:rPr>
          <w:bCs/>
          <w:sz w:val="28"/>
          <w:szCs w:val="28"/>
          <w:lang w:val="uk-UA"/>
        </w:rPr>
        <w:t xml:space="preserve"> опис </w:t>
      </w:r>
      <w:r>
        <w:rPr>
          <w:bCs/>
          <w:sz w:val="28"/>
          <w:szCs w:val="28"/>
          <w:lang w:val="uk-UA"/>
        </w:rPr>
        <w:t xml:space="preserve">структурних елементів </w:t>
      </w:r>
      <w:proofErr w:type="spellStart"/>
      <w:r>
        <w:rPr>
          <w:bCs/>
          <w:sz w:val="28"/>
          <w:szCs w:val="28"/>
          <w:lang w:val="uk-UA"/>
        </w:rPr>
        <w:t>пристатейних</w:t>
      </w:r>
      <w:proofErr w:type="spellEnd"/>
      <w:r w:rsidRPr="003C5F32">
        <w:rPr>
          <w:bCs/>
          <w:sz w:val="28"/>
          <w:szCs w:val="28"/>
          <w:lang w:val="uk-UA"/>
        </w:rPr>
        <w:t xml:space="preserve"> анотаці</w:t>
      </w:r>
      <w:r>
        <w:rPr>
          <w:bCs/>
          <w:sz w:val="28"/>
          <w:szCs w:val="28"/>
          <w:lang w:val="uk-UA"/>
        </w:rPr>
        <w:t>й</w:t>
      </w:r>
      <w:r w:rsidRPr="003C5F32">
        <w:rPr>
          <w:bCs/>
          <w:sz w:val="28"/>
          <w:szCs w:val="28"/>
          <w:lang w:val="uk-UA"/>
        </w:rPr>
        <w:t>. Окремо звернути уваг</w:t>
      </w:r>
      <w:r>
        <w:rPr>
          <w:bCs/>
          <w:sz w:val="28"/>
          <w:szCs w:val="28"/>
          <w:lang w:val="uk-UA"/>
        </w:rPr>
        <w:t>у</w:t>
      </w:r>
      <w:r w:rsidRPr="003C5F32">
        <w:rPr>
          <w:bCs/>
          <w:sz w:val="28"/>
          <w:szCs w:val="28"/>
          <w:lang w:val="uk-UA"/>
        </w:rPr>
        <w:t xml:space="preserve"> на стиль</w:t>
      </w:r>
      <w:r>
        <w:rPr>
          <w:bCs/>
          <w:sz w:val="28"/>
          <w:szCs w:val="28"/>
          <w:lang w:val="uk-UA"/>
        </w:rPr>
        <w:t>, структуру, форми вживаних дієслів.</w:t>
      </w:r>
    </w:p>
    <w:p w:rsidR="00785E13" w:rsidRDefault="00785E13" w:rsidP="00785E13">
      <w:pPr>
        <w:ind w:firstLine="709"/>
        <w:jc w:val="both"/>
        <w:rPr>
          <w:bCs/>
          <w:sz w:val="28"/>
          <w:szCs w:val="28"/>
          <w:lang w:val="uk-UA"/>
        </w:rPr>
      </w:pPr>
      <w:r>
        <w:rPr>
          <w:bCs/>
          <w:sz w:val="28"/>
          <w:szCs w:val="28"/>
          <w:lang w:val="uk-UA"/>
        </w:rPr>
        <w:t>Нижче наведено декілька тематичних анотацій</w:t>
      </w:r>
      <w:r w:rsidRPr="00C96D5E">
        <w:rPr>
          <w:bCs/>
          <w:sz w:val="28"/>
          <w:szCs w:val="28"/>
          <w:lang w:val="uk-UA"/>
        </w:rPr>
        <w:t>:</w:t>
      </w:r>
    </w:p>
    <w:p w:rsidR="00785E13" w:rsidRPr="001F28B7" w:rsidRDefault="00785E13" w:rsidP="00785E13">
      <w:pPr>
        <w:pStyle w:val="a3"/>
        <w:numPr>
          <w:ilvl w:val="0"/>
          <w:numId w:val="1"/>
        </w:numPr>
        <w:ind w:left="0" w:firstLine="567"/>
        <w:jc w:val="both"/>
        <w:rPr>
          <w:bCs/>
          <w:sz w:val="28"/>
          <w:szCs w:val="28"/>
          <w:lang w:val="en-GB"/>
        </w:rPr>
      </w:pPr>
      <w:r w:rsidRPr="0076070E">
        <w:rPr>
          <w:bCs/>
          <w:sz w:val="28"/>
          <w:szCs w:val="28"/>
          <w:lang w:val="en-GB"/>
        </w:rPr>
        <w:t xml:space="preserve">Time series analysis plays an important role in the detection of mechanisms that drive population fluctuations. However, long time series are rare, with ungulate data sets usually not exceeding 50 years. In this article, we describe a long-term data set of population density indices of five ungulate species obtained from the analysis of bag records collected in the </w:t>
      </w:r>
      <w:proofErr w:type="spellStart"/>
      <w:r w:rsidRPr="0076070E">
        <w:rPr>
          <w:bCs/>
          <w:sz w:val="28"/>
          <w:szCs w:val="28"/>
          <w:lang w:val="en-GB"/>
        </w:rPr>
        <w:t>Castelporziano</w:t>
      </w:r>
      <w:proofErr w:type="spellEnd"/>
      <w:r w:rsidRPr="0076070E">
        <w:rPr>
          <w:bCs/>
          <w:sz w:val="28"/>
          <w:szCs w:val="28"/>
          <w:lang w:val="en-GB"/>
        </w:rPr>
        <w:t xml:space="preserve"> Preserve, Rome, Italy. Hunting statistics are often used as proxies for population density; however, in the case of long time series for large mammals, there are no comparative studies to assess the validity of such data. We evaluated the ungulate time series, using two different approaches: we 1) compared hunting statistics with independent animal counts, and 2) assessed whether or not habitat composition of the drive areas was representative of habitat availability in the whole estate. Regressions between bag data and animal counts gave significant results only for three species, whereas bag data corrected for hunted area were significantly correlated to animal counts for all five species. The results suggest that use of bag records not corrected for hunting effort and without any previous validation could lead to misleading estimates of abundance indices. Finally, our analysis showed that density indices of the five species were not significantly affected by the selection of habitats where hunting drives were organised. Our data set may contribute to the understanding of ungulate ecology in the Mediterranean environment</w:t>
      </w:r>
      <w:r>
        <w:rPr>
          <w:bCs/>
          <w:sz w:val="28"/>
          <w:szCs w:val="28"/>
          <w:lang w:val="uk-UA"/>
        </w:rPr>
        <w:t xml:space="preserve"> </w:t>
      </w:r>
      <w:r>
        <w:rPr>
          <w:bCs/>
          <w:sz w:val="28"/>
          <w:szCs w:val="28"/>
          <w:lang w:val="en-GB"/>
        </w:rPr>
        <w:t xml:space="preserve">[5 </w:t>
      </w:r>
      <w:r>
        <w:rPr>
          <w:color w:val="000000"/>
          <w:sz w:val="28"/>
          <w:szCs w:val="28"/>
          <w:lang w:val="uk-UA"/>
        </w:rPr>
        <w:t>додаткова</w:t>
      </w:r>
      <w:r>
        <w:rPr>
          <w:bCs/>
          <w:sz w:val="28"/>
          <w:szCs w:val="28"/>
          <w:lang w:val="en-GB"/>
        </w:rPr>
        <w:t>]</w:t>
      </w:r>
      <w:r w:rsidRPr="0076070E">
        <w:rPr>
          <w:bCs/>
          <w:sz w:val="28"/>
          <w:szCs w:val="28"/>
          <w:lang w:val="en-GB"/>
        </w:rPr>
        <w:t>.</w:t>
      </w:r>
    </w:p>
    <w:p w:rsidR="00785E13" w:rsidRPr="002F5A4B" w:rsidRDefault="00785E13" w:rsidP="00785E13">
      <w:pPr>
        <w:pStyle w:val="a3"/>
        <w:ind w:left="567"/>
        <w:jc w:val="both"/>
        <w:rPr>
          <w:bCs/>
          <w:sz w:val="28"/>
          <w:szCs w:val="28"/>
          <w:lang w:val="en-GB"/>
        </w:rPr>
      </w:pPr>
    </w:p>
    <w:p w:rsidR="00785E13" w:rsidRPr="001F28B7" w:rsidRDefault="00785E13" w:rsidP="00785E13">
      <w:pPr>
        <w:pStyle w:val="a3"/>
        <w:numPr>
          <w:ilvl w:val="0"/>
          <w:numId w:val="1"/>
        </w:numPr>
        <w:ind w:left="0" w:firstLine="567"/>
        <w:jc w:val="both"/>
        <w:rPr>
          <w:bCs/>
          <w:sz w:val="28"/>
          <w:szCs w:val="28"/>
          <w:lang w:val="en-GB"/>
        </w:rPr>
      </w:pPr>
      <w:r w:rsidRPr="001F28B7">
        <w:rPr>
          <w:color w:val="000000"/>
          <w:sz w:val="28"/>
          <w:szCs w:val="28"/>
          <w:lang w:val="en-GB"/>
        </w:rPr>
        <w:t>In recent decades, wild goose populations have grown considerably. Geese forage extensively in agricultural fields leading to frequent conflicts with agricultural stakeholders and calls for effective methods to reduce economic impacts. In this study, we explored the use of handheld lasers to displace grazing barnacle geese </w:t>
      </w:r>
      <w:proofErr w:type="spellStart"/>
      <w:r w:rsidRPr="001F28B7">
        <w:rPr>
          <w:i/>
          <w:iCs/>
          <w:color w:val="000000"/>
          <w:sz w:val="28"/>
          <w:szCs w:val="28"/>
          <w:lang w:val="en-GB"/>
        </w:rPr>
        <w:t>Branta</w:t>
      </w:r>
      <w:proofErr w:type="spellEnd"/>
      <w:r w:rsidRPr="001F28B7">
        <w:rPr>
          <w:i/>
          <w:iCs/>
          <w:color w:val="000000"/>
          <w:sz w:val="28"/>
          <w:szCs w:val="28"/>
          <w:lang w:val="en-GB"/>
        </w:rPr>
        <w:t xml:space="preserve"> </w:t>
      </w:r>
      <w:proofErr w:type="spellStart"/>
      <w:r w:rsidRPr="001F28B7">
        <w:rPr>
          <w:i/>
          <w:iCs/>
          <w:color w:val="000000"/>
          <w:sz w:val="28"/>
          <w:szCs w:val="28"/>
          <w:lang w:val="en-GB"/>
        </w:rPr>
        <w:t>leucopsis</w:t>
      </w:r>
      <w:proofErr w:type="spellEnd"/>
      <w:r w:rsidRPr="001F28B7">
        <w:rPr>
          <w:color w:val="000000"/>
          <w:sz w:val="28"/>
          <w:szCs w:val="28"/>
          <w:lang w:val="en-GB"/>
        </w:rPr>
        <w:t xml:space="preserve"> and dark-bellied </w:t>
      </w:r>
      <w:proofErr w:type="spellStart"/>
      <w:r w:rsidRPr="001F28B7">
        <w:rPr>
          <w:color w:val="000000"/>
          <w:sz w:val="28"/>
          <w:szCs w:val="28"/>
          <w:lang w:val="en-GB"/>
        </w:rPr>
        <w:t>brent</w:t>
      </w:r>
      <w:proofErr w:type="spellEnd"/>
      <w:r w:rsidRPr="001F28B7">
        <w:rPr>
          <w:color w:val="000000"/>
          <w:sz w:val="28"/>
          <w:szCs w:val="28"/>
          <w:lang w:val="en-GB"/>
        </w:rPr>
        <w:t xml:space="preserve"> geese </w:t>
      </w:r>
      <w:proofErr w:type="spellStart"/>
      <w:r w:rsidRPr="001F28B7">
        <w:rPr>
          <w:i/>
          <w:iCs/>
          <w:color w:val="000000"/>
          <w:sz w:val="28"/>
          <w:szCs w:val="28"/>
          <w:lang w:val="en-GB"/>
        </w:rPr>
        <w:t>Branta</w:t>
      </w:r>
      <w:proofErr w:type="spellEnd"/>
      <w:r w:rsidRPr="001F28B7">
        <w:rPr>
          <w:i/>
          <w:iCs/>
          <w:color w:val="000000"/>
          <w:sz w:val="28"/>
          <w:szCs w:val="28"/>
          <w:lang w:val="en-GB"/>
        </w:rPr>
        <w:t xml:space="preserve"> </w:t>
      </w:r>
      <w:proofErr w:type="spellStart"/>
      <w:r w:rsidRPr="001F28B7">
        <w:rPr>
          <w:i/>
          <w:iCs/>
          <w:color w:val="000000"/>
          <w:sz w:val="28"/>
          <w:szCs w:val="28"/>
          <w:lang w:val="en-GB"/>
        </w:rPr>
        <w:t>bernicla</w:t>
      </w:r>
      <w:proofErr w:type="spellEnd"/>
      <w:r w:rsidRPr="001F28B7">
        <w:rPr>
          <w:color w:val="000000"/>
          <w:sz w:val="28"/>
          <w:szCs w:val="28"/>
          <w:lang w:val="en-GB"/>
        </w:rPr>
        <w:t xml:space="preserve"> from farmland pastures on the </w:t>
      </w:r>
      <w:proofErr w:type="spellStart"/>
      <w:r w:rsidRPr="001F28B7">
        <w:rPr>
          <w:color w:val="000000"/>
          <w:sz w:val="28"/>
          <w:szCs w:val="28"/>
          <w:lang w:val="en-GB"/>
        </w:rPr>
        <w:t>Wadden</w:t>
      </w:r>
      <w:proofErr w:type="spellEnd"/>
      <w:r w:rsidRPr="001F28B7">
        <w:rPr>
          <w:color w:val="000000"/>
          <w:sz w:val="28"/>
          <w:szCs w:val="28"/>
          <w:shd w:val="clear" w:color="auto" w:fill="E5E6E7"/>
          <w:lang w:val="en-GB"/>
        </w:rPr>
        <w:t xml:space="preserve"> </w:t>
      </w:r>
      <w:r w:rsidRPr="001F28B7">
        <w:rPr>
          <w:color w:val="000000"/>
          <w:sz w:val="28"/>
          <w:szCs w:val="28"/>
          <w:lang w:val="en-GB"/>
        </w:rPr>
        <w:t xml:space="preserve">Sea island </w:t>
      </w:r>
      <w:proofErr w:type="spellStart"/>
      <w:r w:rsidRPr="001F28B7">
        <w:rPr>
          <w:color w:val="000000"/>
          <w:sz w:val="28"/>
          <w:szCs w:val="28"/>
          <w:lang w:val="en-GB"/>
        </w:rPr>
        <w:t>Mandø</w:t>
      </w:r>
      <w:proofErr w:type="spellEnd"/>
      <w:r w:rsidRPr="001F28B7">
        <w:rPr>
          <w:color w:val="000000"/>
          <w:sz w:val="28"/>
          <w:szCs w:val="28"/>
          <w:lang w:val="en-GB"/>
        </w:rPr>
        <w:t xml:space="preserve"> in Denmark. We evaluate the efficiency of the laser to displace geese, the resultant impact on goose usage and the derived effect on pasture vegetation height. The laser was effective in displacing geese from </w:t>
      </w:r>
      <w:r w:rsidRPr="001F28B7">
        <w:rPr>
          <w:color w:val="000000"/>
          <w:sz w:val="28"/>
          <w:szCs w:val="28"/>
          <w:lang w:val="en-GB"/>
        </w:rPr>
        <w:lastRenderedPageBreak/>
        <w:t>pastures, but range and efficiency were affected by time of day, light conditions, distance and flock size. Fields subject to laser treatments experienced seven times lower dropping densities and had a mean vegetation height that was 3.3 cm taller than control fields where geese were not exposed to lasers. While the use of laser reduced goose exploitation of experimental fields, a simple cost-benefit analysis revealed that the personnel-hours needed to find geese and operate the laser carried economic costs outweighing the potential economic benefits. We discuss the potential in displacing geese with lasers, and suggest conditions when the method may be a suitable way to reduce goose damages locally</w:t>
      </w:r>
      <w:r w:rsidRPr="001F28B7">
        <w:rPr>
          <w:color w:val="000000"/>
          <w:sz w:val="28"/>
          <w:szCs w:val="28"/>
          <w:lang w:val="uk-UA"/>
        </w:rPr>
        <w:t xml:space="preserve"> </w:t>
      </w:r>
      <w:r>
        <w:rPr>
          <w:color w:val="000000"/>
          <w:sz w:val="28"/>
          <w:szCs w:val="28"/>
          <w:lang w:val="en-GB"/>
        </w:rPr>
        <w:t xml:space="preserve">[1 </w:t>
      </w:r>
      <w:r>
        <w:rPr>
          <w:color w:val="000000"/>
          <w:sz w:val="28"/>
          <w:szCs w:val="28"/>
          <w:lang w:val="uk-UA"/>
        </w:rPr>
        <w:t>додаткова</w:t>
      </w:r>
      <w:r>
        <w:rPr>
          <w:color w:val="000000"/>
          <w:sz w:val="28"/>
          <w:szCs w:val="28"/>
          <w:lang w:val="en-GB"/>
        </w:rPr>
        <w:t>]</w:t>
      </w:r>
      <w:r w:rsidRPr="001F28B7">
        <w:rPr>
          <w:bCs/>
          <w:sz w:val="28"/>
          <w:szCs w:val="28"/>
          <w:lang w:val="uk-UA"/>
        </w:rPr>
        <w:t>.</w:t>
      </w:r>
    </w:p>
    <w:p w:rsidR="00785E13" w:rsidRPr="001F28B7" w:rsidRDefault="00785E13" w:rsidP="00785E13">
      <w:pPr>
        <w:pStyle w:val="a3"/>
        <w:ind w:left="567"/>
        <w:jc w:val="both"/>
        <w:rPr>
          <w:bCs/>
          <w:sz w:val="28"/>
          <w:szCs w:val="28"/>
          <w:lang w:val="en-GB"/>
        </w:rPr>
      </w:pPr>
    </w:p>
    <w:p w:rsidR="00785E13" w:rsidRPr="001F28B7" w:rsidRDefault="00785E13" w:rsidP="00785E13">
      <w:pPr>
        <w:pStyle w:val="a3"/>
        <w:numPr>
          <w:ilvl w:val="0"/>
          <w:numId w:val="1"/>
        </w:numPr>
        <w:ind w:left="0" w:firstLine="567"/>
        <w:jc w:val="both"/>
        <w:rPr>
          <w:bCs/>
          <w:sz w:val="28"/>
          <w:szCs w:val="28"/>
          <w:lang w:val="en-GB"/>
        </w:rPr>
      </w:pPr>
      <w:r w:rsidRPr="001F28B7">
        <w:rPr>
          <w:color w:val="000000"/>
          <w:sz w:val="28"/>
          <w:szCs w:val="28"/>
          <w:lang w:val="en-GB"/>
        </w:rPr>
        <w:t xml:space="preserve">Wild ungulates have expanded their geographical range across Europe and Portugal is no exception. Despite the known benefits associated with the increase of these populations (e.g. increased prey for wild carnivores), the negative impacts also need to be taken into account (e.g. damages in agriculture and forestry, ungulate–vehicle collisions). Additionally, their role as reservoirs of zoonotic agents has gained scientific relevance due to the potential human health risks, impact on livestock and food safety. In northeast Portugal, </w:t>
      </w:r>
      <w:proofErr w:type="spellStart"/>
      <w:r w:rsidRPr="001F28B7">
        <w:rPr>
          <w:color w:val="000000"/>
          <w:sz w:val="28"/>
          <w:szCs w:val="28"/>
          <w:lang w:val="en-GB"/>
        </w:rPr>
        <w:t>Montesinho</w:t>
      </w:r>
      <w:proofErr w:type="spellEnd"/>
      <w:r w:rsidRPr="001F28B7">
        <w:rPr>
          <w:color w:val="000000"/>
          <w:sz w:val="28"/>
          <w:szCs w:val="28"/>
          <w:lang w:val="en-GB"/>
        </w:rPr>
        <w:t xml:space="preserve"> Natural Park, three species of ungulates occur in </w:t>
      </w:r>
      <w:proofErr w:type="spellStart"/>
      <w:r w:rsidRPr="001F28B7">
        <w:rPr>
          <w:color w:val="000000"/>
          <w:sz w:val="28"/>
          <w:szCs w:val="28"/>
          <w:lang w:val="en-GB"/>
        </w:rPr>
        <w:t>sympatry</w:t>
      </w:r>
      <w:proofErr w:type="spellEnd"/>
      <w:r w:rsidRPr="001F28B7">
        <w:rPr>
          <w:color w:val="000000"/>
          <w:sz w:val="28"/>
          <w:szCs w:val="28"/>
          <w:lang w:val="en-GB"/>
        </w:rPr>
        <w:t>, the wild boar </w:t>
      </w:r>
      <w:r w:rsidRPr="001F28B7">
        <w:rPr>
          <w:i/>
          <w:iCs/>
          <w:color w:val="000000"/>
          <w:sz w:val="28"/>
          <w:szCs w:val="28"/>
          <w:lang w:val="en-GB"/>
        </w:rPr>
        <w:t xml:space="preserve">Sus </w:t>
      </w:r>
      <w:proofErr w:type="spellStart"/>
      <w:r w:rsidRPr="001F28B7">
        <w:rPr>
          <w:i/>
          <w:iCs/>
          <w:color w:val="000000"/>
          <w:sz w:val="28"/>
          <w:szCs w:val="28"/>
          <w:lang w:val="en-GB"/>
        </w:rPr>
        <w:t>scrofa</w:t>
      </w:r>
      <w:proofErr w:type="spellEnd"/>
      <w:r w:rsidRPr="001F28B7">
        <w:rPr>
          <w:color w:val="000000"/>
          <w:sz w:val="28"/>
          <w:szCs w:val="28"/>
          <w:lang w:val="en-GB"/>
        </w:rPr>
        <w:t>, the red deer </w:t>
      </w:r>
      <w:proofErr w:type="spellStart"/>
      <w:r w:rsidRPr="001F28B7">
        <w:rPr>
          <w:i/>
          <w:iCs/>
          <w:color w:val="000000"/>
          <w:sz w:val="28"/>
          <w:szCs w:val="28"/>
          <w:lang w:val="en-GB"/>
        </w:rPr>
        <w:t>Cervus</w:t>
      </w:r>
      <w:proofErr w:type="spellEnd"/>
      <w:r w:rsidRPr="001F28B7">
        <w:rPr>
          <w:i/>
          <w:iCs/>
          <w:color w:val="000000"/>
          <w:sz w:val="28"/>
          <w:szCs w:val="28"/>
          <w:lang w:val="en-GB"/>
        </w:rPr>
        <w:t xml:space="preserve"> </w:t>
      </w:r>
      <w:proofErr w:type="spellStart"/>
      <w:r w:rsidRPr="001F28B7">
        <w:rPr>
          <w:i/>
          <w:iCs/>
          <w:color w:val="000000"/>
          <w:sz w:val="28"/>
          <w:szCs w:val="28"/>
          <w:lang w:val="en-GB"/>
        </w:rPr>
        <w:t>elaphus</w:t>
      </w:r>
      <w:proofErr w:type="spellEnd"/>
      <w:r w:rsidRPr="001F28B7">
        <w:rPr>
          <w:color w:val="000000"/>
          <w:sz w:val="28"/>
          <w:szCs w:val="28"/>
          <w:lang w:val="en-GB"/>
        </w:rPr>
        <w:t> and the roe deer </w:t>
      </w:r>
      <w:proofErr w:type="spellStart"/>
      <w:r w:rsidRPr="001F28B7">
        <w:rPr>
          <w:i/>
          <w:iCs/>
          <w:color w:val="000000"/>
          <w:sz w:val="28"/>
          <w:szCs w:val="28"/>
          <w:lang w:val="en-GB"/>
        </w:rPr>
        <w:t>Capreolus</w:t>
      </w:r>
      <w:proofErr w:type="spellEnd"/>
      <w:r w:rsidRPr="001F28B7">
        <w:rPr>
          <w:i/>
          <w:iCs/>
          <w:color w:val="000000"/>
          <w:sz w:val="28"/>
          <w:szCs w:val="28"/>
          <w:lang w:val="en-GB"/>
        </w:rPr>
        <w:t xml:space="preserve"> </w:t>
      </w:r>
      <w:proofErr w:type="spellStart"/>
      <w:r w:rsidRPr="001F28B7">
        <w:rPr>
          <w:i/>
          <w:iCs/>
          <w:color w:val="000000"/>
          <w:sz w:val="28"/>
          <w:szCs w:val="28"/>
          <w:lang w:val="en-GB"/>
        </w:rPr>
        <w:t>capreolus</w:t>
      </w:r>
      <w:proofErr w:type="spellEnd"/>
      <w:r w:rsidRPr="001F28B7">
        <w:rPr>
          <w:color w:val="000000"/>
          <w:sz w:val="28"/>
          <w:szCs w:val="28"/>
          <w:lang w:val="en-GB"/>
        </w:rPr>
        <w:t xml:space="preserve">. Considering their close association with humans and livestock, it is essential to understand their role as reservoirs of infectious diseases, namely as vectors for parasitic infections. In order to achieve this, 112 fresh faecal samples were collected to assess, by means of </w:t>
      </w:r>
      <w:proofErr w:type="spellStart"/>
      <w:r w:rsidRPr="001F28B7">
        <w:rPr>
          <w:color w:val="000000"/>
          <w:sz w:val="28"/>
          <w:szCs w:val="28"/>
          <w:lang w:val="en-GB"/>
        </w:rPr>
        <w:t>coprological</w:t>
      </w:r>
      <w:proofErr w:type="spellEnd"/>
      <w:r w:rsidRPr="001F28B7">
        <w:rPr>
          <w:color w:val="000000"/>
          <w:sz w:val="28"/>
          <w:szCs w:val="28"/>
          <w:lang w:val="en-GB"/>
        </w:rPr>
        <w:t xml:space="preserve"> analyses, their parasite diversity, prevalence and mean intensity. In total, 88 (78.60%, ±69.81–85.76) samples were infected with at least one parasite species. Parasite prevalence was different among the three species, with the red deer showing higher prevalence values (83.6%), then the wild boar (80.2%) and the roe deer (46.7%). The results have revealed that these species carry parasites that not only represent a health problem for domestic ruminants and domestic pigs (e.g. </w:t>
      </w:r>
      <w:proofErr w:type="spellStart"/>
      <w:r w:rsidRPr="001F28B7">
        <w:rPr>
          <w:i/>
          <w:iCs/>
          <w:color w:val="000000"/>
          <w:sz w:val="28"/>
          <w:szCs w:val="28"/>
          <w:lang w:val="en-GB"/>
        </w:rPr>
        <w:t>Muellerius</w:t>
      </w:r>
      <w:proofErr w:type="spellEnd"/>
      <w:r w:rsidRPr="001F28B7">
        <w:rPr>
          <w:color w:val="000000"/>
          <w:sz w:val="28"/>
          <w:szCs w:val="28"/>
          <w:lang w:val="en-GB"/>
        </w:rPr>
        <w:t xml:space="preserve"> sp., </w:t>
      </w:r>
      <w:proofErr w:type="spellStart"/>
      <w:r w:rsidRPr="001F28B7">
        <w:rPr>
          <w:color w:val="000000"/>
          <w:sz w:val="28"/>
          <w:szCs w:val="28"/>
          <w:lang w:val="en-GB"/>
        </w:rPr>
        <w:t>Trichostrongylidae</w:t>
      </w:r>
      <w:proofErr w:type="spellEnd"/>
      <w:r w:rsidRPr="001F28B7">
        <w:rPr>
          <w:color w:val="000000"/>
          <w:sz w:val="28"/>
          <w:szCs w:val="28"/>
          <w:lang w:val="en-GB"/>
        </w:rPr>
        <w:t xml:space="preserve">, </w:t>
      </w:r>
      <w:proofErr w:type="spellStart"/>
      <w:r w:rsidRPr="001F28B7">
        <w:rPr>
          <w:color w:val="000000"/>
          <w:sz w:val="28"/>
          <w:szCs w:val="28"/>
          <w:lang w:val="en-GB"/>
        </w:rPr>
        <w:t>Strongylidae</w:t>
      </w:r>
      <w:proofErr w:type="spellEnd"/>
      <w:r w:rsidRPr="001F28B7">
        <w:rPr>
          <w:color w:val="000000"/>
          <w:sz w:val="28"/>
          <w:szCs w:val="28"/>
          <w:lang w:val="en-GB"/>
        </w:rPr>
        <w:t>, </w:t>
      </w:r>
      <w:proofErr w:type="spellStart"/>
      <w:r w:rsidRPr="001F28B7">
        <w:rPr>
          <w:i/>
          <w:iCs/>
          <w:color w:val="000000"/>
          <w:sz w:val="28"/>
          <w:szCs w:val="28"/>
          <w:lang w:val="en-GB"/>
        </w:rPr>
        <w:t>Metastrongylus</w:t>
      </w:r>
      <w:proofErr w:type="spellEnd"/>
      <w:r w:rsidRPr="001F28B7">
        <w:rPr>
          <w:color w:val="000000"/>
          <w:sz w:val="28"/>
          <w:szCs w:val="28"/>
          <w:lang w:val="en-GB"/>
        </w:rPr>
        <w:t> sp., </w:t>
      </w:r>
      <w:proofErr w:type="spellStart"/>
      <w:r w:rsidRPr="001F28B7">
        <w:rPr>
          <w:i/>
          <w:iCs/>
          <w:color w:val="000000"/>
          <w:sz w:val="28"/>
          <w:szCs w:val="28"/>
          <w:lang w:val="en-GB"/>
        </w:rPr>
        <w:t>Moniezia</w:t>
      </w:r>
      <w:proofErr w:type="spellEnd"/>
      <w:r w:rsidRPr="001F28B7">
        <w:rPr>
          <w:i/>
          <w:iCs/>
          <w:color w:val="000000"/>
          <w:sz w:val="28"/>
          <w:szCs w:val="28"/>
          <w:lang w:val="en-GB"/>
        </w:rPr>
        <w:t xml:space="preserve"> </w:t>
      </w:r>
      <w:proofErr w:type="spellStart"/>
      <w:r w:rsidRPr="001F28B7">
        <w:rPr>
          <w:i/>
          <w:iCs/>
          <w:color w:val="000000"/>
          <w:sz w:val="28"/>
          <w:szCs w:val="28"/>
          <w:lang w:val="en-GB"/>
        </w:rPr>
        <w:t>benedeni</w:t>
      </w:r>
      <w:proofErr w:type="spellEnd"/>
      <w:r w:rsidRPr="001F28B7">
        <w:rPr>
          <w:color w:val="000000"/>
          <w:sz w:val="28"/>
          <w:szCs w:val="28"/>
          <w:lang w:val="en-GB"/>
        </w:rPr>
        <w:t>,</w:t>
      </w:r>
      <w:r>
        <w:rPr>
          <w:color w:val="000000"/>
          <w:sz w:val="28"/>
          <w:szCs w:val="28"/>
          <w:lang w:val="uk-UA"/>
        </w:rPr>
        <w:t xml:space="preserve"> </w:t>
      </w:r>
      <w:proofErr w:type="spellStart"/>
      <w:r w:rsidRPr="001F28B7">
        <w:rPr>
          <w:i/>
          <w:iCs/>
          <w:color w:val="000000"/>
          <w:sz w:val="28"/>
          <w:szCs w:val="28"/>
          <w:lang w:val="en-GB"/>
        </w:rPr>
        <w:t>Eimeria</w:t>
      </w:r>
      <w:proofErr w:type="spellEnd"/>
      <w:r w:rsidRPr="001F28B7">
        <w:rPr>
          <w:color w:val="000000"/>
          <w:sz w:val="28"/>
          <w:szCs w:val="28"/>
          <w:lang w:val="en-GB"/>
        </w:rPr>
        <w:t> spp. and </w:t>
      </w:r>
      <w:proofErr w:type="spellStart"/>
      <w:r w:rsidRPr="001F28B7">
        <w:rPr>
          <w:i/>
          <w:iCs/>
          <w:color w:val="000000"/>
          <w:sz w:val="28"/>
          <w:szCs w:val="28"/>
          <w:lang w:val="en-GB"/>
        </w:rPr>
        <w:t>Cystoisospora</w:t>
      </w:r>
      <w:proofErr w:type="spellEnd"/>
      <w:r w:rsidRPr="001F28B7">
        <w:rPr>
          <w:color w:val="000000"/>
          <w:sz w:val="28"/>
          <w:szCs w:val="28"/>
          <w:lang w:val="en-GB"/>
        </w:rPr>
        <w:t> sp.) but they can also pose a potential public health risk (e.g. </w:t>
      </w:r>
      <w:proofErr w:type="spellStart"/>
      <w:r w:rsidRPr="001F28B7">
        <w:rPr>
          <w:i/>
          <w:iCs/>
          <w:color w:val="000000"/>
          <w:sz w:val="28"/>
          <w:szCs w:val="28"/>
          <w:lang w:val="en-GB"/>
        </w:rPr>
        <w:t>Balantidium</w:t>
      </w:r>
      <w:proofErr w:type="spellEnd"/>
      <w:r w:rsidRPr="001F28B7">
        <w:rPr>
          <w:i/>
          <w:iCs/>
          <w:color w:val="000000"/>
          <w:sz w:val="28"/>
          <w:szCs w:val="28"/>
          <w:lang w:val="en-GB"/>
        </w:rPr>
        <w:t xml:space="preserve"> coli</w:t>
      </w:r>
      <w:r w:rsidRPr="001F28B7">
        <w:rPr>
          <w:color w:val="000000"/>
          <w:sz w:val="28"/>
          <w:szCs w:val="28"/>
          <w:lang w:val="en-GB"/>
        </w:rPr>
        <w:t>). The implementation of surveillance programs must include regular monitoring protocols of wild ungulates</w:t>
      </w:r>
      <w:r>
        <w:rPr>
          <w:color w:val="000000"/>
          <w:sz w:val="28"/>
          <w:szCs w:val="28"/>
          <w:lang w:val="en-GB"/>
        </w:rPr>
        <w:t xml:space="preserve"> [1 </w:t>
      </w:r>
      <w:r>
        <w:rPr>
          <w:color w:val="000000"/>
          <w:sz w:val="28"/>
          <w:szCs w:val="28"/>
          <w:lang w:val="uk-UA"/>
        </w:rPr>
        <w:t>додаткова</w:t>
      </w:r>
      <w:r>
        <w:rPr>
          <w:color w:val="000000"/>
          <w:sz w:val="28"/>
          <w:szCs w:val="28"/>
          <w:lang w:val="en-GB"/>
        </w:rPr>
        <w:t>]</w:t>
      </w:r>
      <w:r w:rsidRPr="001F28B7">
        <w:rPr>
          <w:color w:val="000000"/>
          <w:sz w:val="28"/>
          <w:szCs w:val="28"/>
          <w:lang w:val="en-GB"/>
        </w:rPr>
        <w:t>.</w:t>
      </w:r>
    </w:p>
    <w:p w:rsidR="00785E13" w:rsidRDefault="00785E13" w:rsidP="00785E13">
      <w:pPr>
        <w:rPr>
          <w:b/>
          <w:bCs/>
          <w:sz w:val="28"/>
          <w:szCs w:val="28"/>
          <w:lang w:val="uk-UA"/>
        </w:rPr>
      </w:pPr>
      <w:r>
        <w:rPr>
          <w:b/>
          <w:bCs/>
          <w:sz w:val="28"/>
          <w:szCs w:val="28"/>
          <w:lang w:val="uk-UA"/>
        </w:rPr>
        <w:t>________________________________________________________________________________________________________________________________________</w:t>
      </w:r>
    </w:p>
    <w:p w:rsidR="00785E13" w:rsidRDefault="00785E13" w:rsidP="00785E13">
      <w:pPr>
        <w:rPr>
          <w:b/>
          <w:bCs/>
          <w:sz w:val="28"/>
          <w:szCs w:val="28"/>
          <w:lang w:val="uk-UA"/>
        </w:rPr>
      </w:pPr>
      <w:r>
        <w:rPr>
          <w:b/>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Default="00785E13" w:rsidP="00785E13">
      <w:pPr>
        <w:ind w:firstLine="709"/>
        <w:jc w:val="both"/>
        <w:rPr>
          <w:bCs/>
          <w:sz w:val="28"/>
          <w:szCs w:val="28"/>
          <w:lang w:val="uk-UA"/>
        </w:rPr>
      </w:pPr>
      <w:r w:rsidRPr="00874C39">
        <w:rPr>
          <w:b/>
          <w:bCs/>
          <w:smallCaps/>
          <w:sz w:val="28"/>
          <w:szCs w:val="28"/>
          <w:lang w:val="uk-UA"/>
        </w:rPr>
        <w:lastRenderedPageBreak/>
        <w:t>Завдання 2.</w:t>
      </w:r>
      <w:r>
        <w:rPr>
          <w:b/>
          <w:bCs/>
          <w:sz w:val="28"/>
          <w:szCs w:val="28"/>
          <w:lang w:val="uk-UA"/>
        </w:rPr>
        <w:t xml:space="preserve"> </w:t>
      </w:r>
      <w:r>
        <w:rPr>
          <w:bCs/>
          <w:sz w:val="28"/>
          <w:szCs w:val="28"/>
          <w:lang w:val="uk-UA"/>
        </w:rPr>
        <w:t>Користуючись власними напрацюваннями за магістерською роботою та словником сталих академічних виразів скласти анотацію до свого наукового дослідження у відповідності до наступної структури:</w:t>
      </w:r>
    </w:p>
    <w:p w:rsidR="00785E13" w:rsidRPr="00CF0481" w:rsidRDefault="00785E13" w:rsidP="00785E13">
      <w:pPr>
        <w:ind w:firstLine="708"/>
        <w:rPr>
          <w:bCs/>
          <w:sz w:val="28"/>
          <w:szCs w:val="28"/>
          <w:lang w:val="uk-UA"/>
        </w:rPr>
      </w:pPr>
      <w:r w:rsidRPr="00CF0481">
        <w:rPr>
          <w:bCs/>
          <w:sz w:val="28"/>
          <w:szCs w:val="28"/>
          <w:lang w:val="uk-UA"/>
        </w:rPr>
        <w:t>Вступне речення (місце Вашого дослідження у загальному контексті) – 1</w:t>
      </w:r>
      <w:r>
        <w:rPr>
          <w:bCs/>
          <w:sz w:val="28"/>
          <w:szCs w:val="28"/>
          <w:lang w:val="uk-UA"/>
        </w:rPr>
        <w:t>-2</w:t>
      </w:r>
      <w:r w:rsidRPr="00CF0481">
        <w:rPr>
          <w:bCs/>
          <w:sz w:val="28"/>
          <w:szCs w:val="28"/>
          <w:lang w:val="uk-UA"/>
        </w:rPr>
        <w:t xml:space="preserve"> речення</w:t>
      </w:r>
      <w:r>
        <w:rPr>
          <w:bCs/>
          <w:sz w:val="28"/>
          <w:szCs w:val="28"/>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Default="00785E13" w:rsidP="00785E13">
      <w:pPr>
        <w:rPr>
          <w:bCs/>
          <w:sz w:val="28"/>
          <w:szCs w:val="28"/>
          <w:lang w:val="uk-UA"/>
        </w:rPr>
      </w:pPr>
    </w:p>
    <w:p w:rsidR="00785E13" w:rsidRDefault="00785E13" w:rsidP="00785E13">
      <w:pPr>
        <w:rPr>
          <w:bCs/>
          <w:sz w:val="28"/>
          <w:szCs w:val="28"/>
          <w:lang w:val="uk-UA"/>
        </w:rPr>
      </w:pPr>
      <w:r w:rsidRPr="00CF0481">
        <w:rPr>
          <w:bCs/>
          <w:sz w:val="28"/>
          <w:szCs w:val="28"/>
          <w:lang w:val="uk-UA"/>
        </w:rPr>
        <w:t>Мета та гіпотеза дослідження – 1</w:t>
      </w:r>
      <w:r>
        <w:rPr>
          <w:bCs/>
          <w:sz w:val="28"/>
          <w:szCs w:val="28"/>
          <w:lang w:val="uk-UA"/>
        </w:rPr>
        <w:t>-2</w:t>
      </w:r>
      <w:r w:rsidRPr="00CF0481">
        <w:rPr>
          <w:bCs/>
          <w:sz w:val="28"/>
          <w:szCs w:val="28"/>
          <w:lang w:val="uk-UA"/>
        </w:rPr>
        <w:t xml:space="preserve"> речення</w:t>
      </w:r>
    </w:p>
    <w:p w:rsidR="00785E13" w:rsidRPr="00CF0481" w:rsidRDefault="00785E13" w:rsidP="00785E13">
      <w:pPr>
        <w:rPr>
          <w:bCs/>
          <w:sz w:val="28"/>
          <w:szCs w:val="28"/>
          <w:lang w:val="uk-UA"/>
        </w:rPr>
      </w:pPr>
      <w:r>
        <w:rPr>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Default="00785E13" w:rsidP="00785E13">
      <w:pPr>
        <w:rPr>
          <w:bCs/>
          <w:sz w:val="28"/>
          <w:szCs w:val="28"/>
          <w:lang w:val="uk-UA"/>
        </w:rPr>
      </w:pPr>
    </w:p>
    <w:p w:rsidR="00785E13" w:rsidRDefault="00785E13" w:rsidP="00785E13">
      <w:pPr>
        <w:rPr>
          <w:bCs/>
          <w:sz w:val="28"/>
          <w:szCs w:val="28"/>
          <w:lang w:val="uk-UA"/>
        </w:rPr>
      </w:pPr>
      <w:r w:rsidRPr="00CF0481">
        <w:rPr>
          <w:bCs/>
          <w:sz w:val="28"/>
          <w:szCs w:val="28"/>
          <w:lang w:val="uk-UA"/>
        </w:rPr>
        <w:t>Якими методами (визначити місце та час, методологію) та який об'єкт досліджено? – 2</w:t>
      </w:r>
      <w:r>
        <w:rPr>
          <w:bCs/>
          <w:sz w:val="28"/>
          <w:szCs w:val="28"/>
          <w:lang w:val="uk-UA"/>
        </w:rPr>
        <w:t>-3</w:t>
      </w:r>
      <w:r w:rsidRPr="00CF0481">
        <w:rPr>
          <w:bCs/>
          <w:sz w:val="28"/>
          <w:szCs w:val="28"/>
          <w:lang w:val="uk-UA"/>
        </w:rPr>
        <w:t xml:space="preserve"> речення</w:t>
      </w:r>
    </w:p>
    <w:p w:rsidR="00785E13" w:rsidRPr="00CF0481" w:rsidRDefault="00785E13" w:rsidP="00785E13">
      <w:pPr>
        <w:rPr>
          <w:bCs/>
          <w:sz w:val="28"/>
          <w:szCs w:val="28"/>
          <w:lang w:val="uk-UA"/>
        </w:rPr>
      </w:pPr>
      <w:r>
        <w:rPr>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Pr="00CF0481" w:rsidRDefault="00785E13" w:rsidP="00785E13">
      <w:pPr>
        <w:rPr>
          <w:bCs/>
          <w:sz w:val="28"/>
          <w:szCs w:val="28"/>
          <w:lang w:val="uk-UA"/>
        </w:rPr>
      </w:pPr>
    </w:p>
    <w:p w:rsidR="00785E13" w:rsidRDefault="00785E13" w:rsidP="00785E13">
      <w:pPr>
        <w:rPr>
          <w:bCs/>
          <w:sz w:val="28"/>
          <w:szCs w:val="28"/>
          <w:lang w:val="uk-UA"/>
        </w:rPr>
      </w:pPr>
      <w:r w:rsidRPr="00CF0481">
        <w:rPr>
          <w:bCs/>
          <w:sz w:val="28"/>
          <w:szCs w:val="28"/>
          <w:lang w:val="uk-UA"/>
        </w:rPr>
        <w:t>Що отримано (результати)? - 3-4 речення</w:t>
      </w:r>
    </w:p>
    <w:p w:rsidR="00785E13" w:rsidRPr="00CF0481" w:rsidRDefault="00785E13" w:rsidP="00785E13">
      <w:pPr>
        <w:rPr>
          <w:bCs/>
          <w:sz w:val="28"/>
          <w:szCs w:val="28"/>
          <w:lang w:val="uk-UA"/>
        </w:rPr>
      </w:pPr>
      <w:r>
        <w:rPr>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8"/>
          <w:szCs w:val="28"/>
          <w:lang w:val="uk-UA"/>
        </w:rPr>
        <w:lastRenderedPageBreak/>
        <w:t>_______________________________________________________________________________________________________________________________________</w:t>
      </w:r>
    </w:p>
    <w:p w:rsidR="00785E13" w:rsidRPr="00CF0481" w:rsidRDefault="00785E13" w:rsidP="00785E13">
      <w:pPr>
        <w:rPr>
          <w:bCs/>
          <w:sz w:val="28"/>
          <w:szCs w:val="28"/>
          <w:lang w:val="uk-UA"/>
        </w:rPr>
      </w:pPr>
      <w:r>
        <w:rPr>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Default="00785E13" w:rsidP="00785E13">
      <w:pPr>
        <w:rPr>
          <w:bCs/>
          <w:sz w:val="28"/>
          <w:szCs w:val="28"/>
          <w:lang w:val="uk-UA"/>
        </w:rPr>
      </w:pPr>
    </w:p>
    <w:p w:rsidR="00785E13" w:rsidRPr="00CF0481" w:rsidRDefault="00785E13" w:rsidP="00785E13">
      <w:pPr>
        <w:rPr>
          <w:bCs/>
          <w:sz w:val="28"/>
          <w:szCs w:val="28"/>
          <w:lang w:val="uk-UA"/>
        </w:rPr>
      </w:pPr>
      <w:r w:rsidRPr="00CF0481">
        <w:rPr>
          <w:bCs/>
          <w:sz w:val="28"/>
          <w:szCs w:val="28"/>
          <w:lang w:val="uk-UA"/>
        </w:rPr>
        <w:t>Як це співвідноситься з наявними даними? - 3-4 речення</w:t>
      </w:r>
    </w:p>
    <w:p w:rsidR="00785E13" w:rsidRPr="00CF0481" w:rsidRDefault="00785E13" w:rsidP="00785E13">
      <w:pPr>
        <w:rPr>
          <w:bCs/>
          <w:sz w:val="28"/>
          <w:szCs w:val="28"/>
          <w:lang w:val="uk-UA"/>
        </w:rPr>
      </w:pPr>
      <w:r>
        <w:rPr>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Pr="00CF0481" w:rsidRDefault="00785E13" w:rsidP="00785E13">
      <w:pPr>
        <w:rPr>
          <w:bCs/>
          <w:sz w:val="28"/>
          <w:szCs w:val="28"/>
          <w:lang w:val="uk-UA"/>
        </w:rPr>
      </w:pPr>
      <w:r>
        <w:rPr>
          <w:b/>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0481">
        <w:rPr>
          <w:bCs/>
          <w:sz w:val="28"/>
          <w:szCs w:val="28"/>
          <w:lang w:val="uk-UA"/>
        </w:rPr>
        <w:t>Які висновки і яким чином були досягнуті</w:t>
      </w:r>
      <w:r>
        <w:rPr>
          <w:bCs/>
          <w:sz w:val="28"/>
          <w:szCs w:val="28"/>
          <w:lang w:val="uk-UA"/>
        </w:rPr>
        <w:t>?</w:t>
      </w:r>
      <w:r w:rsidRPr="00CF0481">
        <w:rPr>
          <w:bCs/>
          <w:sz w:val="28"/>
          <w:szCs w:val="28"/>
          <w:lang w:val="uk-UA"/>
        </w:rPr>
        <w:t xml:space="preserve"> – 1 речення</w:t>
      </w:r>
    </w:p>
    <w:p w:rsidR="00785E13" w:rsidRPr="00D1390D" w:rsidRDefault="00785E13" w:rsidP="00785E13">
      <w:pPr>
        <w:rPr>
          <w:b/>
          <w:i/>
          <w:color w:val="000000"/>
          <w:sz w:val="28"/>
          <w:szCs w:val="28"/>
          <w:lang w:val="uk-UA"/>
        </w:rPr>
      </w:pPr>
      <w:r>
        <w:rPr>
          <w:b/>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E13" w:rsidRPr="001F28B7" w:rsidRDefault="00785E13" w:rsidP="00785E13">
      <w:pPr>
        <w:rPr>
          <w:sz w:val="28"/>
          <w:szCs w:val="28"/>
          <w:lang w:val="uk-UA"/>
        </w:rPr>
      </w:pPr>
    </w:p>
    <w:p w:rsidR="00785E13" w:rsidRPr="00C96D5E" w:rsidRDefault="00785E13" w:rsidP="00785E13">
      <w:pPr>
        <w:ind w:firstLine="709"/>
        <w:rPr>
          <w:bCs/>
          <w:sz w:val="28"/>
          <w:szCs w:val="28"/>
          <w:lang w:val="uk-UA"/>
        </w:rPr>
      </w:pPr>
      <w:r>
        <w:rPr>
          <w:bCs/>
          <w:sz w:val="28"/>
          <w:szCs w:val="28"/>
          <w:lang w:val="uk-UA"/>
        </w:rPr>
        <w:t>Висновки</w:t>
      </w:r>
    </w:p>
    <w:p w:rsidR="00785E13" w:rsidRDefault="00785E13" w:rsidP="00785E13">
      <w:pPr>
        <w:tabs>
          <w:tab w:val="left" w:pos="9639"/>
        </w:tabs>
        <w:ind w:firstLine="709"/>
        <w:rPr>
          <w:bCs/>
          <w:sz w:val="28"/>
          <w:szCs w:val="28"/>
          <w:u w:val="single"/>
          <w:lang w:val="uk-UA"/>
        </w:rPr>
      </w:pPr>
      <w:r w:rsidRPr="0045310C">
        <w:rPr>
          <w:bCs/>
          <w:sz w:val="28"/>
          <w:szCs w:val="28"/>
          <w:u w:val="single"/>
          <w:lang w:val="uk-UA"/>
        </w:rPr>
        <w:tab/>
      </w:r>
    </w:p>
    <w:p w:rsidR="00785E13" w:rsidRDefault="00785E13" w:rsidP="00785E13">
      <w:pPr>
        <w:tabs>
          <w:tab w:val="left" w:pos="9639"/>
        </w:tabs>
        <w:ind w:firstLine="709"/>
        <w:rPr>
          <w:bCs/>
          <w:sz w:val="28"/>
          <w:szCs w:val="28"/>
          <w:u w:val="single"/>
          <w:lang w:val="uk-UA"/>
        </w:rPr>
      </w:pPr>
      <w:r w:rsidRPr="0045310C">
        <w:rPr>
          <w:bCs/>
          <w:sz w:val="28"/>
          <w:szCs w:val="28"/>
          <w:u w:val="single"/>
          <w:lang w:val="uk-UA"/>
        </w:rPr>
        <w:tab/>
      </w:r>
    </w:p>
    <w:p w:rsidR="00785E13" w:rsidRDefault="00785E13" w:rsidP="00785E13">
      <w:pPr>
        <w:tabs>
          <w:tab w:val="left" w:pos="9639"/>
        </w:tabs>
        <w:ind w:firstLine="709"/>
        <w:rPr>
          <w:bCs/>
          <w:sz w:val="28"/>
          <w:szCs w:val="28"/>
          <w:u w:val="single"/>
          <w:lang w:val="uk-UA"/>
        </w:rPr>
      </w:pPr>
      <w:r w:rsidRPr="0045310C">
        <w:rPr>
          <w:bCs/>
          <w:sz w:val="28"/>
          <w:szCs w:val="28"/>
          <w:u w:val="single"/>
          <w:lang w:val="uk-UA"/>
        </w:rPr>
        <w:tab/>
      </w:r>
    </w:p>
    <w:p w:rsidR="00785E13" w:rsidRDefault="00785E13" w:rsidP="00785E13">
      <w:pPr>
        <w:tabs>
          <w:tab w:val="left" w:pos="9639"/>
        </w:tabs>
        <w:ind w:firstLine="709"/>
        <w:rPr>
          <w:bCs/>
          <w:sz w:val="28"/>
          <w:szCs w:val="28"/>
          <w:u w:val="single"/>
          <w:lang w:val="uk-UA"/>
        </w:rPr>
      </w:pPr>
      <w:r w:rsidRPr="0045310C">
        <w:rPr>
          <w:bCs/>
          <w:sz w:val="28"/>
          <w:szCs w:val="28"/>
          <w:u w:val="single"/>
          <w:lang w:val="uk-UA"/>
        </w:rPr>
        <w:tab/>
      </w:r>
    </w:p>
    <w:p w:rsidR="00785E13" w:rsidRDefault="00785E13" w:rsidP="00785E13">
      <w:pPr>
        <w:tabs>
          <w:tab w:val="left" w:pos="9639"/>
        </w:tabs>
        <w:ind w:firstLine="709"/>
        <w:rPr>
          <w:bCs/>
          <w:sz w:val="28"/>
          <w:szCs w:val="28"/>
          <w:u w:val="single"/>
          <w:lang w:val="uk-UA"/>
        </w:rPr>
      </w:pPr>
      <w:r w:rsidRPr="0045310C">
        <w:rPr>
          <w:bCs/>
          <w:sz w:val="28"/>
          <w:szCs w:val="28"/>
          <w:u w:val="single"/>
          <w:lang w:val="uk-UA"/>
        </w:rPr>
        <w:tab/>
      </w:r>
    </w:p>
    <w:p w:rsidR="00785E13" w:rsidRDefault="00785E13" w:rsidP="00785E13">
      <w:pPr>
        <w:ind w:firstLine="709"/>
        <w:rPr>
          <w:b/>
          <w:color w:val="000000"/>
          <w:sz w:val="28"/>
          <w:szCs w:val="28"/>
          <w:lang w:val="uk-UA"/>
        </w:rPr>
      </w:pPr>
    </w:p>
    <w:p w:rsidR="00785E13" w:rsidRDefault="00785E13" w:rsidP="00785E13">
      <w:pPr>
        <w:ind w:firstLine="709"/>
        <w:rPr>
          <w:b/>
          <w:color w:val="000000"/>
          <w:sz w:val="24"/>
          <w:szCs w:val="24"/>
          <w:lang w:val="uk-UA"/>
        </w:rPr>
      </w:pPr>
      <w:r w:rsidRPr="00EC4378">
        <w:rPr>
          <w:b/>
          <w:color w:val="000000"/>
          <w:sz w:val="24"/>
          <w:szCs w:val="24"/>
          <w:lang w:val="uk-UA"/>
        </w:rPr>
        <w:t>Контрольні питання</w:t>
      </w:r>
    </w:p>
    <w:p w:rsidR="00785E13" w:rsidRDefault="00785E13" w:rsidP="00785E13">
      <w:pPr>
        <w:pStyle w:val="a3"/>
        <w:widowControl w:val="0"/>
        <w:numPr>
          <w:ilvl w:val="0"/>
          <w:numId w:val="2"/>
        </w:numPr>
        <w:shd w:val="clear" w:color="auto" w:fill="FFFFFF"/>
        <w:jc w:val="both"/>
        <w:rPr>
          <w:sz w:val="24"/>
          <w:szCs w:val="24"/>
          <w:lang w:val="uk-UA"/>
        </w:rPr>
      </w:pPr>
      <w:r w:rsidRPr="0055396A">
        <w:rPr>
          <w:sz w:val="24"/>
          <w:szCs w:val="24"/>
          <w:lang w:val="uk-UA"/>
        </w:rPr>
        <w:t xml:space="preserve">Що тека міжнародний стандарт </w:t>
      </w:r>
      <w:proofErr w:type="spellStart"/>
      <w:r w:rsidRPr="0055396A">
        <w:rPr>
          <w:sz w:val="24"/>
          <w:szCs w:val="24"/>
          <w:lang w:val="en-GB"/>
        </w:rPr>
        <w:t>IMRAD</w:t>
      </w:r>
      <w:proofErr w:type="spellEnd"/>
      <w:r w:rsidRPr="0055396A">
        <w:rPr>
          <w:sz w:val="24"/>
          <w:szCs w:val="24"/>
          <w:lang w:val="uk-UA"/>
        </w:rPr>
        <w:t>?</w:t>
      </w:r>
    </w:p>
    <w:p w:rsidR="00785E13" w:rsidRPr="0055396A" w:rsidRDefault="00785E13" w:rsidP="00785E13">
      <w:pPr>
        <w:pStyle w:val="a3"/>
        <w:widowControl w:val="0"/>
        <w:numPr>
          <w:ilvl w:val="0"/>
          <w:numId w:val="2"/>
        </w:numPr>
        <w:shd w:val="clear" w:color="auto" w:fill="FFFFFF"/>
        <w:jc w:val="both"/>
        <w:rPr>
          <w:sz w:val="24"/>
          <w:szCs w:val="24"/>
          <w:lang w:val="uk-UA"/>
        </w:rPr>
      </w:pPr>
      <w:r>
        <w:rPr>
          <w:sz w:val="24"/>
          <w:szCs w:val="24"/>
          <w:lang w:val="uk-UA"/>
        </w:rPr>
        <w:t xml:space="preserve">Історія виникнення стандарту </w:t>
      </w:r>
      <w:proofErr w:type="spellStart"/>
      <w:r w:rsidRPr="0055396A">
        <w:rPr>
          <w:sz w:val="24"/>
          <w:szCs w:val="24"/>
          <w:lang w:val="en-GB"/>
        </w:rPr>
        <w:t>IMRAD</w:t>
      </w:r>
      <w:proofErr w:type="spellEnd"/>
    </w:p>
    <w:p w:rsidR="00785E13" w:rsidRDefault="00785E13" w:rsidP="00785E13">
      <w:pPr>
        <w:pStyle w:val="a3"/>
        <w:widowControl w:val="0"/>
        <w:numPr>
          <w:ilvl w:val="0"/>
          <w:numId w:val="2"/>
        </w:numPr>
        <w:shd w:val="clear" w:color="auto" w:fill="FFFFFF"/>
        <w:jc w:val="both"/>
        <w:rPr>
          <w:sz w:val="24"/>
          <w:szCs w:val="24"/>
          <w:lang w:val="uk-UA"/>
        </w:rPr>
      </w:pPr>
      <w:r>
        <w:rPr>
          <w:sz w:val="24"/>
          <w:szCs w:val="24"/>
          <w:lang w:val="uk-UA"/>
        </w:rPr>
        <w:t>Чому анотація до наукової роботи має бути структурованою?</w:t>
      </w:r>
    </w:p>
    <w:p w:rsidR="00CA2BDA" w:rsidRPr="00785E13" w:rsidRDefault="00785E13" w:rsidP="00785E13">
      <w:pPr>
        <w:pStyle w:val="a3"/>
        <w:widowControl w:val="0"/>
        <w:numPr>
          <w:ilvl w:val="0"/>
          <w:numId w:val="2"/>
        </w:numPr>
        <w:shd w:val="clear" w:color="auto" w:fill="FFFFFF"/>
        <w:spacing w:after="200" w:line="276" w:lineRule="auto"/>
        <w:jc w:val="both"/>
        <w:rPr>
          <w:lang w:val="uk-UA"/>
        </w:rPr>
      </w:pPr>
      <w:r w:rsidRPr="00785E13">
        <w:rPr>
          <w:sz w:val="24"/>
          <w:szCs w:val="24"/>
          <w:lang w:val="uk-UA"/>
        </w:rPr>
        <w:t>Які найважливіш</w:t>
      </w:r>
      <w:r w:rsidRPr="00785E13">
        <w:rPr>
          <w:sz w:val="24"/>
          <w:szCs w:val="24"/>
          <w:lang w:val="uk-UA"/>
        </w:rPr>
        <w:t>і структурні елементи анотації?</w:t>
      </w:r>
      <w:bookmarkStart w:id="3" w:name="_GoBack"/>
      <w:bookmarkEnd w:id="3"/>
    </w:p>
    <w:sectPr w:rsidR="00CA2BDA" w:rsidRPr="00785E13" w:rsidSect="00785E1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B64"/>
    <w:multiLevelType w:val="hybridMultilevel"/>
    <w:tmpl w:val="70CE1FDA"/>
    <w:lvl w:ilvl="0" w:tplc="C3A6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F0444D"/>
    <w:multiLevelType w:val="hybridMultilevel"/>
    <w:tmpl w:val="BA3648EA"/>
    <w:lvl w:ilvl="0" w:tplc="665C5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13"/>
    <w:rsid w:val="00197AF5"/>
    <w:rsid w:val="00542D3C"/>
    <w:rsid w:val="00752239"/>
    <w:rsid w:val="00785E13"/>
    <w:rsid w:val="00A55491"/>
    <w:rsid w:val="00CA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1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785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E1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785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1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785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E1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78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10418</Characters>
  <Application>Microsoft Office Word</Application>
  <DocSecurity>0</DocSecurity>
  <Lines>289</Lines>
  <Paragraphs>121</Paragraphs>
  <ScaleCrop>false</ScaleCrop>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2020-04-11T21:32:00Z</dcterms:created>
  <dcterms:modified xsi:type="dcterms:W3CDTF">2020-04-11T21:32:00Z</dcterms:modified>
</cp:coreProperties>
</file>