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BB" w:rsidRPr="00D032BB" w:rsidRDefault="00D032BB" w:rsidP="00D032BB">
      <w:pPr>
        <w:pStyle w:val="1"/>
        <w:spacing w:before="0" w:beforeAutospacing="0" w:after="0" w:afterAutospacing="0"/>
        <w:ind w:firstLine="709"/>
        <w:jc w:val="center"/>
        <w:rPr>
          <w:rFonts w:ascii="Georgia" w:hAnsi="Georgia"/>
          <w:bCs w:val="0"/>
          <w:color w:val="222222"/>
          <w:sz w:val="24"/>
          <w:szCs w:val="24"/>
          <w:lang w:val="uk-UA"/>
        </w:rPr>
      </w:pPr>
      <w:r w:rsidRPr="00D032BB">
        <w:rPr>
          <w:rFonts w:ascii="Georgia" w:hAnsi="Georgia"/>
          <w:color w:val="222222"/>
          <w:sz w:val="24"/>
          <w:szCs w:val="24"/>
          <w:lang w:val="uk-UA"/>
        </w:rPr>
        <w:t xml:space="preserve">ТЕМА 2 </w:t>
      </w:r>
      <w:r w:rsidRPr="00D032BB">
        <w:rPr>
          <w:rFonts w:ascii="Georgia" w:hAnsi="Georgia"/>
          <w:bCs w:val="0"/>
          <w:color w:val="222222"/>
          <w:sz w:val="24"/>
          <w:szCs w:val="24"/>
          <w:lang w:val="uk-UA"/>
        </w:rPr>
        <w:t>СУБ'ЄКТИ НАДАННЯ СОЦІАЛЬНИХ ПОСЛУГ</w:t>
      </w:r>
    </w:p>
    <w:p w:rsidR="00D032BB" w:rsidRPr="00D032BB" w:rsidRDefault="00D032BB" w:rsidP="00D032BB">
      <w:pPr>
        <w:pStyle w:val="1"/>
        <w:spacing w:before="0" w:beforeAutospacing="0" w:after="0" w:afterAutospacing="0"/>
        <w:ind w:firstLine="709"/>
        <w:jc w:val="both"/>
        <w:rPr>
          <w:rFonts w:ascii="Georgia" w:hAnsi="Georgia"/>
          <w:b w:val="0"/>
          <w:bCs w:val="0"/>
          <w:color w:val="222222"/>
          <w:sz w:val="24"/>
          <w:szCs w:val="24"/>
          <w:lang w:val="uk-UA"/>
        </w:rPr>
      </w:pPr>
    </w:p>
    <w:p w:rsidR="00D032BB" w:rsidRPr="00D032BB" w:rsidRDefault="00D032BB" w:rsidP="00D032BB">
      <w:pPr>
        <w:pStyle w:val="2"/>
        <w:numPr>
          <w:ilvl w:val="0"/>
          <w:numId w:val="5"/>
        </w:numPr>
        <w:spacing w:before="0"/>
        <w:jc w:val="both"/>
        <w:rPr>
          <w:rFonts w:ascii="Georgia" w:hAnsi="Georgia"/>
          <w:i/>
          <w:color w:val="222222"/>
          <w:sz w:val="24"/>
          <w:szCs w:val="24"/>
          <w:lang w:val="uk-UA"/>
        </w:rPr>
      </w:pPr>
      <w:r w:rsidRPr="00D032BB">
        <w:rPr>
          <w:rFonts w:ascii="Georgia" w:hAnsi="Georgia"/>
          <w:b/>
          <w:bCs/>
          <w:i/>
          <w:color w:val="222222"/>
          <w:sz w:val="24"/>
          <w:szCs w:val="24"/>
          <w:lang w:val="uk-UA"/>
        </w:rPr>
        <w:t>Роль держави в забезпеченні соціальних послуг</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План дій Україна-ЄС заохочує розбудову сильного й дієздатного громадянського суспільства шляхом "залучення громадян до процесу прийняття рішень, й також через громадські неурядові організації суспільства (далі - НУО)".</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Важливою віхою на шляху до сильного громадянського суспільства є успішна співпраця НУО з органами влади. Вона приносить користь обом сторонам. В державах з обмеженими ресурсами на соціальні послуги, НУО можуть відігравати важливу роль як агенти соціальних змін. Вони також спроможні залучити інші ресурси, яких не мають органи влади, та користуються більшою довірою з боку населення. З іншого боку, НУО потрібна місцева влада яка б заохочувала діяльність НУО та зміцнювала діалог між населенням та владою.</w:t>
      </w:r>
    </w:p>
    <w:p w:rsidR="00D032BB" w:rsidRPr="00D032BB" w:rsidRDefault="00D032BB" w:rsidP="00D032BB">
      <w:pPr>
        <w:pStyle w:val="3"/>
        <w:spacing w:before="0"/>
        <w:ind w:firstLine="709"/>
        <w:jc w:val="both"/>
        <w:rPr>
          <w:rFonts w:ascii="Georgia" w:hAnsi="Georgia"/>
          <w:color w:val="222222"/>
          <w:lang w:val="uk-UA"/>
        </w:rPr>
      </w:pPr>
      <w:r w:rsidRPr="00D032BB">
        <w:rPr>
          <w:rFonts w:ascii="Georgia" w:hAnsi="Georgia"/>
          <w:b/>
          <w:bCs/>
          <w:color w:val="222222"/>
          <w:lang w:val="uk-UA"/>
        </w:rPr>
        <w:t>Призначення громадянського суспільства</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Визначаючи поняття "громадянське суспільство" Майкл Уольцер трактував його як простір непримусової людської коаліції; Джеффрі Александер як сферу людської солідарності; Юрген Габермас як публічну сферу суспільної взаємодії та життєвий світ людини тощо.</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 цілому ідеї свободи, справедливості, солідарності, співробітництва й спільного блага разом визначають соціальну гармонію, а отже, громадянське суспільство мас базуватись на цих принципах і відповідно до цього мати універсальну функцію - стосуватися кожної людини в кожній нації на землі.</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Щоправда, багато людей взагалі не вважають ідею громадянського суспільства за добру. В Індії та країнах ісламської орієнтації є чимало критиків. Видатні ексцентричні критики є і в західному суспільстві. Досить згадати Бернарда Шоу та Освальда Шпенглера, які обстоюють думку, що демократія нав'язана "попередніми злощасними альтернативами".</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 сучасному розумінні, громадянське суспільство є в першу чергу особливим видом соціальної дії, а по-друге, являє той "пласт суспільства, що розташований між урядом, економікою та приватними господарствами, тобто той пласт, де взаємодіють асоціації, соціальні рухи та НУО, і який демонструє високий рівень суспільної самоорганізації".</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Як певна модель соціальної організації, громадянське суспільство має декілька тлумачень, що відображають його певні сторони і функції.</w:t>
      </w:r>
    </w:p>
    <w:p w:rsidR="00D032BB" w:rsidRPr="00D032BB" w:rsidRDefault="00D032BB" w:rsidP="00D032BB">
      <w:pPr>
        <w:numPr>
          <w:ilvl w:val="0"/>
          <w:numId w:val="1"/>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1) існування незалежних від держави громадських організацій (тобто НУО) - так званий "третій сектор" (в мінімальному обсязі);</w:t>
      </w:r>
    </w:p>
    <w:p w:rsidR="00D032BB" w:rsidRPr="00D032BB" w:rsidRDefault="00D032BB" w:rsidP="00D032BB">
      <w:pPr>
        <w:numPr>
          <w:ilvl w:val="0"/>
          <w:numId w:val="1"/>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2) вся соціальна структура яка координує свої дії через низку добровільних асоціацій - громадських організацій (наукове значення);</w:t>
      </w:r>
    </w:p>
    <w:p w:rsidR="00D032BB" w:rsidRPr="00D032BB" w:rsidRDefault="00D032BB" w:rsidP="00D032BB">
      <w:pPr>
        <w:numPr>
          <w:ilvl w:val="0"/>
          <w:numId w:val="1"/>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3) фактор впливу на державну політику та політичний процес у суспільстві (функціональний підхід);</w:t>
      </w:r>
    </w:p>
    <w:p w:rsidR="00D032BB" w:rsidRPr="00D032BB" w:rsidRDefault="00D032BB" w:rsidP="00D032BB">
      <w:pPr>
        <w:numPr>
          <w:ilvl w:val="0"/>
          <w:numId w:val="1"/>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4) наявність розвиненої системи інститутів і взаємодій між ними, яка змінює тип політичної культури, і, отже, міняє спосіб функціонування інших суспільних інститутів, в т. ч. державних (публіцистика);</w:t>
      </w:r>
    </w:p>
    <w:p w:rsidR="00D032BB" w:rsidRPr="00D032BB" w:rsidRDefault="00D032BB" w:rsidP="00D032BB">
      <w:pPr>
        <w:numPr>
          <w:ilvl w:val="0"/>
          <w:numId w:val="1"/>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5) ототожнення з усією нерозчленованою позаполітичною чи позадержавною сферою суспільного життя (філософський підхід).</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 узагальненому вигляді, громадянське суспільство слід розуміти як "сферу спілкування, взаємодії, самоорганізації та самоврядування вільних індивідів на основі добровільно сформованих утворень, яка захищена законами від прямого втручання держави й у якій панують громадянські цінності". Важливим елементом діючого громадянського суспільства є активна співпраця громадян з органами влади та бізнесом для вирішення спільних проблем, що стоять перед суспільством.</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lastRenderedPageBreak/>
        <w:t>Громадянське суспільство, попри відсутність однозначного визначення, має обов'язкову складову і водночас головну ознаку - систему добровільних громадських організацій (НУО), що працюють задля самоорганізації та самоврядування і захищені необхідними законами від прямого втручання і регламентації з боку держави.</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Межа між державою, громадянським суспільством, родиною та ринком є досить розмитою й невизначеною. Громадянське суспільство вміщує безліч просторів, акторів та інституційних форм, що різняться в ступені формалізованості, автономії та впливу.</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Що стосується структури громадянського суспільства, то вона визначається її інститутами. До інститутів, що творять внутрішню структуру громадянського суспільства, належать:</w:t>
      </w:r>
    </w:p>
    <w:p w:rsidR="00D032BB" w:rsidRPr="00D032BB" w:rsidRDefault="00D032BB" w:rsidP="00D032BB">
      <w:pPr>
        <w:numPr>
          <w:ilvl w:val="0"/>
          <w:numId w:val="2"/>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o добровільні громадські об'єднання: економічні, культурно-мистецькі, релігійні, спортивні, екологічні, освітні, наукові, захисту прав громадян, схеми взаємодопомоги, благодійні тощо;</w:t>
      </w:r>
    </w:p>
    <w:p w:rsidR="00D032BB" w:rsidRPr="00D032BB" w:rsidRDefault="00D032BB" w:rsidP="00D032BB">
      <w:pPr>
        <w:numPr>
          <w:ilvl w:val="0"/>
          <w:numId w:val="2"/>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o громадські рухи й політичні партії (доки ті не задіяні в механізмах здійснення влади);</w:t>
      </w:r>
    </w:p>
    <w:p w:rsidR="00D032BB" w:rsidRPr="00D032BB" w:rsidRDefault="00D032BB" w:rsidP="00D032BB">
      <w:pPr>
        <w:numPr>
          <w:ilvl w:val="0"/>
          <w:numId w:val="2"/>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o незалежні засоби масової інформації, що обслуговують громадські потреби та інтереси, а також формують і оприлюднюють громадську думку;</w:t>
      </w:r>
    </w:p>
    <w:p w:rsidR="00D032BB" w:rsidRPr="00D032BB" w:rsidRDefault="00D032BB" w:rsidP="00D032BB">
      <w:pPr>
        <w:numPr>
          <w:ilvl w:val="0"/>
          <w:numId w:val="2"/>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o громадська думка як соціальний інститут;</w:t>
      </w:r>
    </w:p>
    <w:p w:rsidR="00D032BB" w:rsidRPr="00D032BB" w:rsidRDefault="00D032BB" w:rsidP="00D032BB">
      <w:pPr>
        <w:numPr>
          <w:ilvl w:val="0"/>
          <w:numId w:val="2"/>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o вибори та референдум як засіб громадського волевиявлення та захисту інтересів;</w:t>
      </w:r>
    </w:p>
    <w:p w:rsidR="00D032BB" w:rsidRPr="00D032BB" w:rsidRDefault="00D032BB" w:rsidP="00D032BB">
      <w:pPr>
        <w:numPr>
          <w:ilvl w:val="0"/>
          <w:numId w:val="2"/>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o залежні від громадськості елементи судової і правоохоронної системи;</w:t>
      </w:r>
    </w:p>
    <w:p w:rsidR="00D032BB" w:rsidRPr="00D032BB" w:rsidRDefault="00D032BB" w:rsidP="00D032BB">
      <w:pPr>
        <w:numPr>
          <w:ilvl w:val="0"/>
          <w:numId w:val="2"/>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o деякі західноєвропейські джерела також зараховують до інститутів громадянського суспільства також профспілки і навіть бізнес-угрупування.</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Крім того, до інститутів, що є складовими зовнішньої структури громадянського суспільства, також належать міжнародні організації, такі як ООН та Червоний Хрест.</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Тому можна зазначити, що функції громадянського суспільства полягають у тому, що, зокрема, Його інститути:</w:t>
      </w:r>
    </w:p>
    <w:p w:rsidR="00D032BB" w:rsidRPr="00D032BB" w:rsidRDefault="00D032BB" w:rsidP="00D032BB">
      <w:pPr>
        <w:numPr>
          <w:ilvl w:val="0"/>
          <w:numId w:val="3"/>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1) виступають засобом самовираження громадян, їх самореалізації та самостійної реалізації власних інтересів. Оскільки громадські спілки та об'єднання розв'язують самостійно значну частину суспільно важливих питань, вони тим самим зменшують державі тягар проблем які їй доводиться розв'язувати;</w:t>
      </w:r>
    </w:p>
    <w:p w:rsidR="00D032BB" w:rsidRPr="00D032BB" w:rsidRDefault="00D032BB" w:rsidP="00D032BB">
      <w:pPr>
        <w:numPr>
          <w:ilvl w:val="0"/>
          <w:numId w:val="3"/>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2) виступають гарантом непорушності особистих прав громадян, дають їм впевненість у своїх силах, служать опорою у їх можливому протистоянні з державою;</w:t>
      </w:r>
    </w:p>
    <w:p w:rsidR="00D032BB" w:rsidRPr="00D032BB" w:rsidRDefault="00D032BB" w:rsidP="00D032BB">
      <w:pPr>
        <w:numPr>
          <w:ilvl w:val="0"/>
          <w:numId w:val="3"/>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3) захищають інтереси певної групи в протиборстві з іншими групами та дають можливість кожній групі бути почутою;</w:t>
      </w:r>
    </w:p>
    <w:p w:rsidR="00D032BB" w:rsidRDefault="00D032BB" w:rsidP="00D032BB">
      <w:pPr>
        <w:numPr>
          <w:ilvl w:val="0"/>
          <w:numId w:val="3"/>
        </w:numPr>
        <w:spacing w:after="0" w:line="240" w:lineRule="auto"/>
        <w:ind w:firstLine="709"/>
        <w:jc w:val="both"/>
        <w:rPr>
          <w:rFonts w:ascii="Georgia" w:hAnsi="Georgia"/>
          <w:color w:val="242424"/>
          <w:sz w:val="24"/>
          <w:szCs w:val="24"/>
          <w:lang w:val="uk-UA"/>
        </w:rPr>
      </w:pPr>
      <w:r w:rsidRPr="00D032BB">
        <w:rPr>
          <w:rFonts w:ascii="Georgia" w:hAnsi="Georgia"/>
          <w:color w:val="242424"/>
          <w:sz w:val="24"/>
          <w:szCs w:val="24"/>
          <w:lang w:val="uk-UA"/>
        </w:rPr>
        <w:t>4) створюють сприятливі умови для функціонування демократичної влади, оскільки формують позицію громадян з різних проблем суспільного життя та публічної політики, систематизують та впорядковують протести й вимоги людей, знаходячи основу для взаємних поступок та компромісів, та допомагають людям в разі потреби організовано протистояти неконституційним діям осіб при владі</w:t>
      </w:r>
    </w:p>
    <w:p w:rsidR="001A326E" w:rsidRPr="00D032BB" w:rsidRDefault="001A326E" w:rsidP="001A326E">
      <w:pPr>
        <w:spacing w:after="0" w:line="240" w:lineRule="auto"/>
        <w:ind w:left="1429"/>
        <w:jc w:val="both"/>
        <w:rPr>
          <w:rFonts w:ascii="Georgia" w:hAnsi="Georgia"/>
          <w:color w:val="242424"/>
          <w:sz w:val="24"/>
          <w:szCs w:val="24"/>
          <w:lang w:val="uk-UA"/>
        </w:rPr>
      </w:pPr>
    </w:p>
    <w:p w:rsidR="00D032BB" w:rsidRPr="00D032BB" w:rsidRDefault="00D032BB" w:rsidP="001A326E">
      <w:pPr>
        <w:pStyle w:val="2"/>
        <w:numPr>
          <w:ilvl w:val="0"/>
          <w:numId w:val="5"/>
        </w:numPr>
        <w:spacing w:before="0"/>
        <w:jc w:val="both"/>
        <w:rPr>
          <w:rFonts w:ascii="Georgia" w:hAnsi="Georgia"/>
          <w:b/>
          <w:bCs/>
          <w:i/>
          <w:color w:val="222222"/>
          <w:sz w:val="24"/>
          <w:szCs w:val="24"/>
          <w:lang w:val="uk-UA"/>
        </w:rPr>
      </w:pPr>
      <w:r w:rsidRPr="00D032BB">
        <w:rPr>
          <w:rFonts w:ascii="Georgia" w:hAnsi="Georgia"/>
          <w:b/>
          <w:bCs/>
          <w:i/>
          <w:color w:val="222222"/>
          <w:sz w:val="24"/>
          <w:szCs w:val="24"/>
          <w:lang w:val="uk-UA"/>
        </w:rPr>
        <w:t>Місце неурядових організацій у громадянському суспільстві</w:t>
      </w:r>
    </w:p>
    <w:p w:rsidR="001A326E" w:rsidRDefault="001A326E" w:rsidP="00D032BB">
      <w:pPr>
        <w:spacing w:after="0" w:line="240" w:lineRule="auto"/>
        <w:ind w:firstLine="709"/>
        <w:jc w:val="both"/>
        <w:rPr>
          <w:rFonts w:ascii="Georgia" w:eastAsia="Times New Roman" w:hAnsi="Georgia" w:cs="Times New Roman"/>
          <w:color w:val="222222"/>
          <w:sz w:val="24"/>
          <w:szCs w:val="24"/>
          <w:lang w:val="uk-UA" w:eastAsia="ru-RU"/>
        </w:rPr>
      </w:pP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lastRenderedPageBreak/>
        <w:t>НУО є невід'ємною складовою громадянського суспільства, роль яких в сьогоднішню інформаційну епоху неухильно зростає. Здійснюючи свою діяльність на місцевому, національному та міжнародному рівнях, ці організації є ядром "третього" сектору, і разом з державним та бізнес-сектором сприяють загальному добробуту й розвитку міцної та стабільної держави. Зокрема НУО відіграли важливу роль у становленні демократичних держав Центральної Східної Європи в 1990-ті роки. Значну роль НУО зіграли й у зміні політичного режиму в Україні.</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Загалом, НУО мають широкий спектр діяльності, до яких входить представництво й захист політичних потреб громадян, увага до потреб окремих цільових груп, надання послуг населенню, лобіювання змін у законодавстві і вплив на прийняття політичних рішень як на місцевому, так і на державному рівнях.</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З боку уряду, політичних сил та бізнесових структур ставлення до НУО неабияке. Багато НУО прагнуть діяти як "глобальна совість", репрезентуючи широкі суспільні інтереси, що виходять за межі окремих держав. Такі НУО диктують нові норми, безпосередньо тиснучи на уряд і ділові кола, закликаючи їх змінити сталий політичний курс, і непрямим чином змінюють суспільне сприйняття щодо того, які функції входять у поле компетентності держави та бізнесу. Вони можуть бути як союзниками, так і противниками урядів, і уряди повинні зважати на них рівною мірою як на ще одну впливову силу.</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Однією з характерних рис НУО е використання інноваційних методів вирішення соціальних проблем, які не залежать від директиви зверху, а тому є різноманітними, надають різнобічні пропозиції й активно шукають клієнтів. НУО проводять моніторинг потреб і проблем, і часто першими на них реагують. Через те, що НУО працюють на місцевому рівні, вони можуть швидко адаптуватися до визначених потреб, діють безпосередньо, виступають партнерами своїх клієнтів, є більш доступними, ніж державні інститути. Вони часто беруться за ризиковані проблеми, які не помічають або відкидають державні служби (через відсутність відповідних наказів).</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Люди, залучені до роботи в НУО, чуттєві до потреб інших, легко адаптуються і виявляють гнучкість, реагуючи на потреби, що виникають. Вони мотивовані загальною етикою - "місія більше, ніж вакансія", зацікавлені у вирішенні проблеми і часто особисто беруть участь у її розв'язанні. Вони працюють у партнерських командах, в яких не існує традиційної ієрархії, підтримуються експертними радами, генеральними асамблеями, друзями по організації та волонтерській роботі.</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Незалежні від влади НУО є неформальним каналом вираження громадських потреб і необхідності змін, які мають бути забезпечені відповідними державними адміністраціями. Крім того, важливим завданням НУО є моніторинг державних органів, які працюють у різних сферах політичного, соціального й економічного життя.</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НУО також розробляють механізми саморегуляції та самооцінки, визначаючи загальні професійні та етичні стандарти; вони проходять низку </w:t>
      </w:r>
      <w:r w:rsidRPr="00D032BB">
        <w:rPr>
          <w:rFonts w:ascii="Georgia" w:eastAsia="Times New Roman" w:hAnsi="Georgia" w:cs="Times New Roman"/>
          <w:i/>
          <w:iCs/>
          <w:color w:val="222222"/>
          <w:sz w:val="24"/>
          <w:szCs w:val="24"/>
          <w:lang w:val="uk-UA" w:eastAsia="ru-RU"/>
        </w:rPr>
        <w:t>перевірок, серед</w:t>
      </w:r>
      <w:r w:rsidRPr="00D032BB">
        <w:rPr>
          <w:rFonts w:ascii="Georgia" w:eastAsia="Times New Roman" w:hAnsi="Georgia" w:cs="Times New Roman"/>
          <w:color w:val="222222"/>
          <w:sz w:val="24"/>
          <w:szCs w:val="24"/>
          <w:lang w:val="uk-UA" w:eastAsia="ru-RU"/>
        </w:rPr>
        <w:t> яких "тестування вільним ринком". Але головне, що ці організації знаходяться під суспільним спостереженням, - вони незалежні, але їх існування залежить </w:t>
      </w:r>
      <w:r w:rsidRPr="00D032BB">
        <w:rPr>
          <w:rFonts w:ascii="Georgia" w:eastAsia="Times New Roman" w:hAnsi="Georgia" w:cs="Times New Roman"/>
          <w:i/>
          <w:iCs/>
          <w:color w:val="222222"/>
          <w:sz w:val="24"/>
          <w:szCs w:val="24"/>
          <w:lang w:val="uk-UA" w:eastAsia="ru-RU"/>
        </w:rPr>
        <w:t>від</w:t>
      </w:r>
      <w:r w:rsidRPr="00D032BB">
        <w:rPr>
          <w:rFonts w:ascii="Georgia" w:eastAsia="Times New Roman" w:hAnsi="Georgia" w:cs="Times New Roman"/>
          <w:color w:val="222222"/>
          <w:sz w:val="24"/>
          <w:szCs w:val="24"/>
          <w:lang w:val="uk-UA" w:eastAsia="ru-RU"/>
        </w:rPr>
        <w:t> ставлення та довіри людей.</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 xml:space="preserve">Також зазначимо, що НУО не властивий "жорсткий" характер сили, однак часто вони вдаються до політики "м'якої" сили, яка полягає в досягненні результату шляхом зацікавленості, а не примусу. Така "м'яка" сила в розпорядженні окремих організацій з доброю репутацією та високим ступенем довіри може застосовуватись як всередині окремої держави, так і на міжнародному рівні. Інші організації, що функціонують на територіях, де ступінь довіри громадян недостатньо високий, здатні організовувати демонстрації, залучати послідовників та привертати увагу уряду. В будь-якому разі, НУО й мережеві організації мають засоби впливу і без вагань їх використовують. Уряди, які ігнорують їхнє існування, надто ризикують. </w:t>
      </w:r>
      <w:r w:rsidRPr="00D032BB">
        <w:rPr>
          <w:rFonts w:ascii="Georgia" w:eastAsia="Times New Roman" w:hAnsi="Georgia" w:cs="Times New Roman"/>
          <w:color w:val="222222"/>
          <w:sz w:val="24"/>
          <w:szCs w:val="24"/>
          <w:lang w:val="uk-UA" w:eastAsia="ru-RU"/>
        </w:rPr>
        <w:lastRenderedPageBreak/>
        <w:t>Крім того, з економічної точки зору, НУО роблять внесок у ВВП, рівень якого знаходиться в прямій залежності від рівня демократизації і розвитку економіки й коливається від 1 до 15 %. Щоправда, в Україні, як і в інших країнах Східної Європи, він не досягає 1 %, що свідчить про недостатнє усвідомлення доцільності існування третього сектору.</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Крім того, вони привносять у світову політику плюралізм, привертаючи увагу до проблем, які уряди ігнорують, а також виступаючи як групи тиску. І в цьому сенсі вони стають своєрідною протидіючою силою відносно традиційної урядової бюрократії.</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В цілому слід зазначити, що НУО дуже ощадливі. Вони фінансуються різними джерелами, майже завжди додають до будь-яких державних грошей інші, отримані від приватного сектора чи іноземного донора. Ці організації - "економічні" (витрати невеликі в порівнянні з розміром послуг, що пропонуються), тому що поточні, адміністративні та офісні витрати обмежені до мінімуму та вони віддають перевагу використанню волонтерської роботи. Організаційні витрати регулюються як ринком клієнтів, так і спонсорів. Отже, їхня діяльність грунтується на принципах скорочення витрат і економічної ефективності.</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Дослідження показують, наскільки великою є роль НУО. У п'ятьох європейських країнах (Німеччині, Франції, Італії, Угорщині та Великобританії) загальний бюджет неурядових організацій складає 3,5 % ВВП, стільки ж або навіть більше, ніж частка сільського господарства. У країнах ЄС кожен восьмий працівник зайнятий у неурядовому секторі. У випадку структурного безробіття він стає одним із головних "роботодавців" (крім виробництва, торгівлі, сфери послуг, управління).</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Тобто можна зазначити, що владні структури, особливо місцевого рівня, умови для вільної економічної діяльності та незалежні НУО є фундаментальними складовими частинами сучасного громадянського суспільства. Незважаючи на безліч відмінностей, вони об'єднані загальною мстою: задоволення потреб громади. Це також основна тема і ключове завдання співробітництва між місцевими адміністраціями та НУО. Вони працюють разом для того, щоб об'єднати зусилля заради інтересів місцевих громад.</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Серед партнерів державної влади можна визначити органи державного та місцевого самоврядування та соціально орієнтовані НУО, для яких особливо характерним є:</w:t>
      </w:r>
    </w:p>
    <w:p w:rsidR="00D032BB" w:rsidRPr="00D032BB" w:rsidRDefault="00D032BB" w:rsidP="00D032BB">
      <w:pPr>
        <w:numPr>
          <w:ilvl w:val="0"/>
          <w:numId w:val="4"/>
        </w:numPr>
        <w:spacing w:after="0" w:line="240" w:lineRule="auto"/>
        <w:ind w:firstLine="709"/>
        <w:jc w:val="both"/>
        <w:rPr>
          <w:rFonts w:ascii="Georgia" w:eastAsia="Times New Roman" w:hAnsi="Georgia" w:cs="Times New Roman"/>
          <w:color w:val="242424"/>
          <w:sz w:val="24"/>
          <w:szCs w:val="24"/>
          <w:lang w:val="uk-UA" w:eastAsia="ru-RU"/>
        </w:rPr>
      </w:pPr>
      <w:r w:rsidRPr="00D032BB">
        <w:rPr>
          <w:rFonts w:ascii="Georgia" w:eastAsia="Times New Roman" w:hAnsi="Georgia" w:cs="Times New Roman"/>
          <w:color w:val="242424"/>
          <w:sz w:val="24"/>
          <w:szCs w:val="24"/>
          <w:lang w:val="uk-UA" w:eastAsia="ru-RU"/>
        </w:rPr>
        <w:t>o поєднання надання послуг і репрезентативних функцій;</w:t>
      </w:r>
    </w:p>
    <w:p w:rsidR="00D032BB" w:rsidRPr="00D032BB" w:rsidRDefault="00D032BB" w:rsidP="00D032BB">
      <w:pPr>
        <w:numPr>
          <w:ilvl w:val="0"/>
          <w:numId w:val="4"/>
        </w:numPr>
        <w:spacing w:after="0" w:line="240" w:lineRule="auto"/>
        <w:ind w:firstLine="709"/>
        <w:jc w:val="both"/>
        <w:rPr>
          <w:rFonts w:ascii="Georgia" w:eastAsia="Times New Roman" w:hAnsi="Georgia" w:cs="Times New Roman"/>
          <w:color w:val="242424"/>
          <w:sz w:val="24"/>
          <w:szCs w:val="24"/>
          <w:lang w:val="uk-UA" w:eastAsia="ru-RU"/>
        </w:rPr>
      </w:pPr>
      <w:r w:rsidRPr="00D032BB">
        <w:rPr>
          <w:rFonts w:ascii="Georgia" w:eastAsia="Times New Roman" w:hAnsi="Georgia" w:cs="Times New Roman"/>
          <w:color w:val="242424"/>
          <w:sz w:val="24"/>
          <w:szCs w:val="24"/>
          <w:lang w:val="uk-UA" w:eastAsia="ru-RU"/>
        </w:rPr>
        <w:t>o ефективне визначення потреб, сподівань та очікувань людей;</w:t>
      </w:r>
    </w:p>
    <w:p w:rsidR="00D032BB" w:rsidRPr="00D032BB" w:rsidRDefault="00D032BB" w:rsidP="00D032BB">
      <w:pPr>
        <w:numPr>
          <w:ilvl w:val="0"/>
          <w:numId w:val="4"/>
        </w:numPr>
        <w:spacing w:after="0" w:line="240" w:lineRule="auto"/>
        <w:ind w:firstLine="709"/>
        <w:jc w:val="both"/>
        <w:rPr>
          <w:rFonts w:ascii="Georgia" w:eastAsia="Times New Roman" w:hAnsi="Georgia" w:cs="Times New Roman"/>
          <w:color w:val="242424"/>
          <w:sz w:val="24"/>
          <w:szCs w:val="24"/>
          <w:lang w:val="uk-UA" w:eastAsia="ru-RU"/>
        </w:rPr>
      </w:pPr>
      <w:r w:rsidRPr="00D032BB">
        <w:rPr>
          <w:rFonts w:ascii="Georgia" w:eastAsia="Times New Roman" w:hAnsi="Georgia" w:cs="Times New Roman"/>
          <w:color w:val="242424"/>
          <w:sz w:val="24"/>
          <w:szCs w:val="24"/>
          <w:lang w:val="uk-UA" w:eastAsia="ru-RU"/>
        </w:rPr>
        <w:t>o гнучкість у досягненні цілей, адаптованість до потреб та пріоритетів клієнтів та організацій - бенефіціарів;</w:t>
      </w:r>
    </w:p>
    <w:p w:rsidR="00D032BB" w:rsidRPr="00D032BB" w:rsidRDefault="00D032BB" w:rsidP="00D032BB">
      <w:pPr>
        <w:numPr>
          <w:ilvl w:val="0"/>
          <w:numId w:val="4"/>
        </w:numPr>
        <w:spacing w:after="0" w:line="240" w:lineRule="auto"/>
        <w:ind w:firstLine="709"/>
        <w:jc w:val="both"/>
        <w:rPr>
          <w:rFonts w:ascii="Georgia" w:eastAsia="Times New Roman" w:hAnsi="Georgia" w:cs="Times New Roman"/>
          <w:color w:val="242424"/>
          <w:sz w:val="24"/>
          <w:szCs w:val="24"/>
          <w:lang w:val="uk-UA" w:eastAsia="ru-RU"/>
        </w:rPr>
      </w:pPr>
      <w:r w:rsidRPr="00D032BB">
        <w:rPr>
          <w:rFonts w:ascii="Georgia" w:eastAsia="Times New Roman" w:hAnsi="Georgia" w:cs="Times New Roman"/>
          <w:color w:val="242424"/>
          <w:sz w:val="24"/>
          <w:szCs w:val="24"/>
          <w:lang w:val="uk-UA" w:eastAsia="ru-RU"/>
        </w:rPr>
        <w:t>o потенціал (насамперед, людський);</w:t>
      </w:r>
    </w:p>
    <w:p w:rsidR="00D032BB" w:rsidRPr="00D032BB" w:rsidRDefault="00D032BB" w:rsidP="00D032BB">
      <w:pPr>
        <w:numPr>
          <w:ilvl w:val="0"/>
          <w:numId w:val="4"/>
        </w:numPr>
        <w:spacing w:after="0" w:line="240" w:lineRule="auto"/>
        <w:ind w:firstLine="709"/>
        <w:jc w:val="both"/>
        <w:rPr>
          <w:rFonts w:ascii="Georgia" w:eastAsia="Times New Roman" w:hAnsi="Georgia" w:cs="Times New Roman"/>
          <w:color w:val="242424"/>
          <w:sz w:val="24"/>
          <w:szCs w:val="24"/>
          <w:lang w:val="uk-UA" w:eastAsia="ru-RU"/>
        </w:rPr>
      </w:pPr>
      <w:r w:rsidRPr="00D032BB">
        <w:rPr>
          <w:rFonts w:ascii="Georgia" w:eastAsia="Times New Roman" w:hAnsi="Georgia" w:cs="Times New Roman"/>
          <w:color w:val="242424"/>
          <w:sz w:val="24"/>
          <w:szCs w:val="24"/>
          <w:lang w:val="uk-UA" w:eastAsia="ru-RU"/>
        </w:rPr>
        <w:t>o активізація партнерів і організація діяльності, спрямованої на місцеву громаду;</w:t>
      </w:r>
    </w:p>
    <w:p w:rsidR="00D032BB" w:rsidRPr="00D032BB" w:rsidRDefault="00D032BB" w:rsidP="00D032BB">
      <w:pPr>
        <w:numPr>
          <w:ilvl w:val="0"/>
          <w:numId w:val="4"/>
        </w:numPr>
        <w:spacing w:after="0" w:line="240" w:lineRule="auto"/>
        <w:ind w:firstLine="709"/>
        <w:jc w:val="both"/>
        <w:rPr>
          <w:rFonts w:ascii="Georgia" w:eastAsia="Times New Roman" w:hAnsi="Georgia" w:cs="Times New Roman"/>
          <w:color w:val="242424"/>
          <w:sz w:val="24"/>
          <w:szCs w:val="24"/>
          <w:lang w:val="uk-UA" w:eastAsia="ru-RU"/>
        </w:rPr>
      </w:pPr>
      <w:r w:rsidRPr="00D032BB">
        <w:rPr>
          <w:rFonts w:ascii="Georgia" w:eastAsia="Times New Roman" w:hAnsi="Georgia" w:cs="Times New Roman"/>
          <w:color w:val="242424"/>
          <w:sz w:val="24"/>
          <w:szCs w:val="24"/>
          <w:lang w:val="uk-UA" w:eastAsia="ru-RU"/>
        </w:rPr>
        <w:t>o здатність отримувати ресурси, які є недоступними чи важко доступними для місцевої адміністрації або інших партнерів, задля реалізації завдань;</w:t>
      </w:r>
    </w:p>
    <w:p w:rsidR="00D032BB" w:rsidRPr="00D032BB" w:rsidRDefault="00D032BB" w:rsidP="00D032BB">
      <w:pPr>
        <w:numPr>
          <w:ilvl w:val="0"/>
          <w:numId w:val="4"/>
        </w:numPr>
        <w:spacing w:after="0" w:line="240" w:lineRule="auto"/>
        <w:ind w:firstLine="709"/>
        <w:jc w:val="both"/>
        <w:rPr>
          <w:rFonts w:ascii="Georgia" w:eastAsia="Times New Roman" w:hAnsi="Georgia" w:cs="Times New Roman"/>
          <w:color w:val="242424"/>
          <w:sz w:val="24"/>
          <w:szCs w:val="24"/>
          <w:lang w:val="uk-UA" w:eastAsia="ru-RU"/>
        </w:rPr>
      </w:pPr>
      <w:r w:rsidRPr="00D032BB">
        <w:rPr>
          <w:rFonts w:ascii="Georgia" w:eastAsia="Times New Roman" w:hAnsi="Georgia" w:cs="Times New Roman"/>
          <w:color w:val="242424"/>
          <w:sz w:val="24"/>
          <w:szCs w:val="24"/>
          <w:lang w:val="uk-UA" w:eastAsia="ru-RU"/>
        </w:rPr>
        <w:t>o гнучкість у підрахунках витрат на діяльність.</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Варто зауважити, що в соціальній політиці та наданні соціальної підтримки, незалежно від того, реалізуються вони державою чи НУО, необхідно відрізняти нормативний аспект (чого ми хочемо досягти?) від практичного (як досягти мети?). Практичний аспект включає розподіл завдань між державною адміністрацією та НУО, якщо ефективність наданих послуг береться за критерій такого розподілу.</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Тут можна зазначити, що НУО здатні надати допомогу малозабезпеченим родинам більш ефективно (швидше і дешевше), але неможливо вирішити проблему структурного безробіття без участі державного органу, який відповідає за політику зайнятості.</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lastRenderedPageBreak/>
        <w:t>Питання розподілу завдань також має аксіологічний аспект. Прихильники мінімальної державної допомоги третьому сектору виходять з таких моральних міркувань: сильний вплив державної влади та її відповідальність за вирішення соціальних проблем означає підвищення податків, що може призвести до зменшення громадського контролю над отриманими доходами.</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Прихильники державного протекціонізму, з іншого боку, відносять громадянські соціальні права до прав людини, реалізація яких повинна бути гарантована державою, а не дана на відкуп ринку чи добродійності фізичних осіб. Отже, соціальна допомога за своєю природою базується на певних цінностях та сприяє реалізації якогось особливого бачення соціального порядку.</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Культурні трансформації та зміни, що їх супроводжують, в сфері соціально прийнятих цінностей підтверджують аксіологію соціальної політики. Кращий приклад - систематична трансформація в Польщі, що супроводжується децентралізацією влади, делегуванням завдань місцевим адміністраціям і передачею влади та відповідальності НУО завдяки новому "Закону про державну допомогу і волонтерство" (2003 р.).</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Однак, щодо ролі НУО у формуванні соціальної сфери, потрібно зазначити обов'язок держави підтримувати чи, принаймні, не перешкоджати розвитку соціально орієнтованих НУО. Приклад Німеччини особливо важливий у цьому контексті. У 1967 р. в результаті величезних зусиль НУО, які працюють у соціальному секторі, реалізація принципу взаємного доповнення, включеного до Конституції Німеччини, була визначена постановою конституційного суду. Принцип доповнення став основним принципом, що визначає відносини між державним сектором, який складається з федерацій, федеральних земель, районів і фондів соціальної безпеки, та різними формами незалежних, неприбуткових організацій.</w:t>
      </w:r>
    </w:p>
    <w:p w:rsidR="00D032BB" w:rsidRPr="00D032BB" w:rsidRDefault="00D032BB" w:rsidP="00D032BB">
      <w:pPr>
        <w:spacing w:after="0" w:line="240" w:lineRule="auto"/>
        <w:ind w:firstLine="709"/>
        <w:jc w:val="both"/>
        <w:rPr>
          <w:rFonts w:ascii="Georgia" w:eastAsia="Times New Roman" w:hAnsi="Georgia" w:cs="Times New Roman"/>
          <w:color w:val="222222"/>
          <w:sz w:val="24"/>
          <w:szCs w:val="24"/>
          <w:lang w:val="uk-UA" w:eastAsia="ru-RU"/>
        </w:rPr>
      </w:pPr>
      <w:r w:rsidRPr="00D032BB">
        <w:rPr>
          <w:rFonts w:ascii="Georgia" w:eastAsia="Times New Roman" w:hAnsi="Georgia" w:cs="Times New Roman"/>
          <w:color w:val="222222"/>
          <w:sz w:val="24"/>
          <w:szCs w:val="24"/>
          <w:lang w:val="uk-UA" w:eastAsia="ru-RU"/>
        </w:rPr>
        <w:t>Ключовим моментом у цій моделі, що існує в ЄС, є децентралізація соціальної політики, зокрема напрямки вирішення соціальних проблем розробляються на місцевому рівні. Соціальні НУО тісно співпрацюють з державним сектором, вони отримують цільові гранти від державних установ, що ілюструє принцип доповнення.</w:t>
      </w:r>
    </w:p>
    <w:p w:rsidR="00D032BB" w:rsidRPr="00D032BB" w:rsidRDefault="00D032BB" w:rsidP="00D032BB">
      <w:pPr>
        <w:pStyle w:val="1"/>
        <w:spacing w:before="0" w:beforeAutospacing="0" w:after="0" w:afterAutospacing="0"/>
        <w:ind w:firstLine="709"/>
        <w:jc w:val="both"/>
        <w:rPr>
          <w:rFonts w:ascii="Georgia" w:hAnsi="Georgia"/>
          <w:b w:val="0"/>
          <w:bCs w:val="0"/>
          <w:color w:val="222222"/>
          <w:sz w:val="24"/>
          <w:szCs w:val="24"/>
          <w:lang w:val="uk-UA"/>
        </w:rPr>
      </w:pPr>
      <w:r w:rsidRPr="00D032BB">
        <w:rPr>
          <w:rFonts w:ascii="Georgia" w:hAnsi="Georgia"/>
          <w:b w:val="0"/>
          <w:bCs w:val="0"/>
          <w:color w:val="222222"/>
          <w:sz w:val="24"/>
          <w:szCs w:val="24"/>
          <w:lang w:val="uk-UA"/>
        </w:rPr>
        <w:t>Неурядові організації як партнери влади в наданні соціальних послуг</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Роль НУО в соціальній політиці країн Європейського Союзу, де існує практика залучення всіх зацікавлених сторін до визначення пріоритетних проблем у соціальній сфері та пошуку ефективних методів для їх вирішення, вже стала визначальною, тобто участь НУО у формуванні цієї політики - абсолютно необхідна.</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Але НУО не лише професійно надають соціальні послуги. Співробітники цих організацій завжди були самовідданими та прагнули покращити соціальні умови різних груп суспільства, тому ще до часів Другої світової війни почали впроваджуватись інноваційні методи соціальної роботи. Після війни цей процес вже не зупинявся, триватиме він і в майбутньому.</w:t>
      </w:r>
    </w:p>
    <w:p w:rsidR="00D032BB" w:rsidRPr="00D032BB" w:rsidRDefault="00D032BB" w:rsidP="00D032BB">
      <w:pPr>
        <w:pStyle w:val="2"/>
        <w:numPr>
          <w:ilvl w:val="0"/>
          <w:numId w:val="5"/>
        </w:numPr>
        <w:spacing w:before="0"/>
        <w:jc w:val="both"/>
        <w:rPr>
          <w:rFonts w:ascii="Georgia" w:hAnsi="Georgia"/>
          <w:b/>
          <w:bCs/>
          <w:i/>
          <w:color w:val="222222"/>
          <w:sz w:val="24"/>
          <w:szCs w:val="24"/>
          <w:lang w:val="uk-UA"/>
        </w:rPr>
      </w:pPr>
      <w:r w:rsidRPr="00D032BB">
        <w:rPr>
          <w:rFonts w:ascii="Georgia" w:hAnsi="Georgia"/>
          <w:b/>
          <w:bCs/>
          <w:i/>
          <w:color w:val="222222"/>
          <w:sz w:val="24"/>
          <w:szCs w:val="24"/>
          <w:lang w:val="uk-UA"/>
        </w:rPr>
        <w:t>Основи соціальної роботи для неурядових організацій</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Соціальна робота як професія виникла в Україні близько десяти років тому. Поява нового фаху була спричинена масштабними змінами у нашому суспільстві, пов'язаними із соціальною кризою та, як наслідок цього, появою вразливих груп населення, які потребували професійної допомоги та підтримки - і не лише матеріальної. Соціально-економічна криза супроводжувалась ідейною: руйнувались ідеологічні принципи та догми, звичні для суспільства, відбувалася втрата почуття внутрішньої визначеності та стабільності.</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 xml:space="preserve">Сучасний соціальний працівник бачить своє завдання в тому, щоб людина, якій допомагають, змогла внаслідок проведеної роботи вирішувати свої проблеми самостійно, що вважається основним критерієм професійного успіху. При цьому </w:t>
      </w:r>
      <w:r w:rsidRPr="00D032BB">
        <w:rPr>
          <w:rFonts w:ascii="Georgia" w:hAnsi="Georgia"/>
          <w:color w:val="222222"/>
          <w:lang w:val="uk-UA"/>
        </w:rPr>
        <w:lastRenderedPageBreak/>
        <w:t>центральною фігурою в соціальній роботі є клієнт, а метою - звільнення його від потреби у соціальних працівниках. Тобто, соціальна робота - це не лише виплата матеріальної допомоги, пенсій, субсидій тощо.</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 цілому, соціальна робота як професія має своєю метою підвищення рівня соціального функціонування індивідів і, таким чином, сприяє задоволенню потреб вищих рівнів через надання соціальних послуг різним групам клієнтів. Або, як зазначає В. І. Полтавець: "... соціальна робота - це система теоретичних знань та заснована на них практика, яка має на меті забезпечення соціальної справедливості шляхом наснаження і підтримки найменш захищених верств суспільства та протидії факторам соціального виключення...". Під соціальним виключенням мається на увазі позбавлення людей можливості брати участь у загальноприйнятих видах діяльності. Соціальне виключення породжується тим, що людина не має доступу до загальноприйнятих ресурсів у суспільстві.</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Взагалі, соціальна робота як професія базується на певних цінностях, тобто ідеях, переконаннях, на які можна опиратися в процесі прийняття рішення, це набір критеріїв для прийняття рішення. Професор із Великобританії Ш. Рамон виділяє п'ять основних цінностей соціальної роботи.</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Style w:val="a4"/>
          <w:rFonts w:ascii="Georgia" w:hAnsi="Georgia"/>
          <w:color w:val="222222"/>
          <w:lang w:val="uk-UA"/>
        </w:rPr>
        <w:t>1. Наснаження.</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Мова йде про необхідність так працювати з клієнтами, щоб вони змогли навчитися вирішувати свої проблеми самостійно, почували себе владними над своїм життям. Часто цей термін використовують як синонім до такого поняття як "надання можливостей" та протистоїть поняттям "пригноблення" та "позбавлення влади". Однією з форм наснаження є залучення клієнтів до планування та оцінювання послуг у соціальних службах. У випадку, коли клієнт не має жодного впливу на організацію та планування послуги, він стає пасивним отримувачем допомоги й перетворюється на об'єкт впливу соціальних працівників. А це ще більше сприяє безпорадності та уникненню відповідальності за своє життя. Отож, наснаження - це також розподіл влади й відповідальності, що веде до встановлення партнерських стосунків між клієнтом та соціальним працівником.</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Style w:val="a4"/>
          <w:rFonts w:ascii="Georgia" w:hAnsi="Georgia"/>
          <w:color w:val="222222"/>
          <w:lang w:val="uk-UA"/>
        </w:rPr>
        <w:t>2. Насамперед - людина.</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Кожен клієнт має право й повинен отримати допомогу не тільки через те, що це може бути вигідним, а, в першу чергу, через те, що він людина, і це впливає на збагачення нематеріального боку життя нашого суспільства. У кожному клієнті є потенціал стати корисним і цінним для суспільства і для себе.</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Style w:val="a4"/>
          <w:rFonts w:ascii="Georgia" w:hAnsi="Georgia"/>
          <w:color w:val="222222"/>
          <w:lang w:val="uk-UA"/>
        </w:rPr>
        <w:t>3. Повага до особистості.</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Таке ставлення до особистості не дозволяє професіоналам сприймати будь-яких людей як менш достойних і неспроможних, як залежних від їхньої допомоги. Надзвичайно важливий прояв поваги до особистості - дозволити людям робити помилки.</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Style w:val="a4"/>
          <w:rFonts w:ascii="Georgia" w:hAnsi="Georgia"/>
          <w:color w:val="222222"/>
          <w:lang w:val="uk-UA"/>
        </w:rPr>
        <w:t>4. Право на самовизначення</w:t>
      </w:r>
      <w:r w:rsidRPr="00D032BB">
        <w:rPr>
          <w:rFonts w:ascii="Georgia" w:hAnsi="Georgia"/>
          <w:color w:val="222222"/>
          <w:lang w:val="uk-UA"/>
        </w:rPr>
        <w:t>.</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Під цим розуміють право кожного вирішувати свої проблеми, виходячи з власних можливостей, та з того, що кожна людина краще знає саму себе. Це суперечить стереотипу, що професіонали краще за клієнта знають, що і як йому необхідно робити. Роль професіонала в тому, щоб пояснити клієнтові свої знання зрозумілою мовою, зробити їх доступними для нього.</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Style w:val="a4"/>
          <w:rFonts w:ascii="Georgia" w:hAnsi="Georgia"/>
          <w:color w:val="222222"/>
          <w:lang w:val="uk-UA"/>
        </w:rPr>
        <w:t>5. Право на залежність.</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Кожна людина має право на взаємну залежність і підтримку у разі потреби. Іноді люди стають залежними один від одного на якийсь час, і на це є низка причин. Зокрема, професор Ф. Парслоу, аналізуючи цінності соціальної роботи, говорить про таку цінність як здатність змінюватися. Мова йде про те, що без віри у зміни соціальна робота має мало сенсу. Професіонал має створити умови для змін особистості. Якщо зміни не відбуваються, то, скоріше за все, у соціального працівника не вистачає знань, умінь, можливостей для втілення цих змін.</w:t>
      </w:r>
    </w:p>
    <w:p w:rsid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lastRenderedPageBreak/>
        <w:t>Тобто ми приходимо до висновку, що найважливіша функція НУО - змінювати людей. У нашому, часто роз'єднаному суспільстві, в якому сусід не завжди знає сусіда, а соціальне спілкування звужене до рівня перегляду телевізора, громадські організації стимулюють соціальну активність і інтеграцію. Вони дають людям шанс бути активними в групі, знайомитись з людьми з подібними інтересами та знаходити зміст і цінності в реалізації загальних цілей. Професійна кар'єра та/чи щасливе сімейне життя є дуже важливими, але недостатніми цілями. НУО створюються людьми для людей: вони дають почуття спільності та підтримки їхнім членам, пропонують послуги фахівців і борються за права різних соціальних груп. Вони виконують ще одну надзвичайно важливу функцію: формують відчуття громадянської тотожності (тобто дають можливість виразити суспільні проблеми та потреби). Надзвичайно важлива роль прямої демократії в тому, що організації заповнюють прогалину, яка не може бути заповнена ані державою та її чиновниками, ані бізнесом та його менеджерами.</w:t>
      </w:r>
    </w:p>
    <w:p w:rsidR="001A326E" w:rsidRPr="00D032BB" w:rsidRDefault="001A326E" w:rsidP="00D032BB">
      <w:pPr>
        <w:pStyle w:val="a3"/>
        <w:spacing w:before="0" w:beforeAutospacing="0" w:after="0" w:afterAutospacing="0"/>
        <w:ind w:firstLine="709"/>
        <w:jc w:val="both"/>
        <w:rPr>
          <w:rFonts w:ascii="Georgia" w:hAnsi="Georgia"/>
          <w:color w:val="222222"/>
          <w:lang w:val="uk-UA"/>
        </w:rPr>
      </w:pPr>
    </w:p>
    <w:p w:rsidR="00D032BB" w:rsidRPr="001A326E" w:rsidRDefault="00D032BB" w:rsidP="001A326E">
      <w:pPr>
        <w:pStyle w:val="2"/>
        <w:numPr>
          <w:ilvl w:val="0"/>
          <w:numId w:val="5"/>
        </w:numPr>
        <w:spacing w:before="0"/>
        <w:jc w:val="both"/>
        <w:rPr>
          <w:rFonts w:ascii="Georgia" w:hAnsi="Georgia"/>
          <w:b/>
          <w:bCs/>
          <w:i/>
          <w:color w:val="222222"/>
          <w:sz w:val="24"/>
          <w:szCs w:val="24"/>
          <w:lang w:val="uk-UA"/>
        </w:rPr>
      </w:pPr>
      <w:r w:rsidRPr="001A326E">
        <w:rPr>
          <w:rFonts w:ascii="Georgia" w:hAnsi="Georgia"/>
          <w:b/>
          <w:bCs/>
          <w:i/>
          <w:color w:val="222222"/>
          <w:sz w:val="24"/>
          <w:szCs w:val="24"/>
          <w:lang w:val="uk-UA"/>
        </w:rPr>
        <w:t>Правове регулювання соціальних послуг</w:t>
      </w:r>
    </w:p>
    <w:p w:rsidR="001A326E" w:rsidRDefault="001A326E" w:rsidP="00D032BB">
      <w:pPr>
        <w:pStyle w:val="a3"/>
        <w:spacing w:before="0" w:beforeAutospacing="0" w:after="0" w:afterAutospacing="0"/>
        <w:ind w:firstLine="709"/>
        <w:jc w:val="both"/>
        <w:rPr>
          <w:rFonts w:ascii="Georgia" w:hAnsi="Georgia"/>
          <w:color w:val="222222"/>
          <w:lang w:val="uk-UA"/>
        </w:rPr>
      </w:pPr>
    </w:p>
    <w:p w:rsidR="00D032BB" w:rsidRPr="00D032BB" w:rsidRDefault="00D032BB" w:rsidP="00D032BB">
      <w:pPr>
        <w:pStyle w:val="a3"/>
        <w:spacing w:before="0" w:beforeAutospacing="0" w:after="0" w:afterAutospacing="0"/>
        <w:ind w:firstLine="709"/>
        <w:jc w:val="both"/>
        <w:rPr>
          <w:rFonts w:ascii="Georgia" w:hAnsi="Georgia"/>
          <w:color w:val="222222"/>
          <w:lang w:val="uk-UA"/>
        </w:rPr>
      </w:pPr>
      <w:bookmarkStart w:id="0" w:name="_GoBack"/>
      <w:bookmarkEnd w:id="0"/>
      <w:r w:rsidRPr="00D032BB">
        <w:rPr>
          <w:rFonts w:ascii="Georgia" w:hAnsi="Georgia"/>
          <w:color w:val="222222"/>
          <w:lang w:val="uk-UA"/>
        </w:rPr>
        <w:t>Хоча більшість соціальних послуг в соціальній сфері надають НУО, все ж таки в більшості випадків ці послуги вважаються суспільними (державними). Проте оскільки соціальні послуги стосуються суспільства в цілому, держава, в основі своїй, несе відповідальність за їх надання. Тому для держави дуже важливо мати суворий контроль за тими суб'єктами, яким делеговано право надавати такі послуги. Задля забезпечення того, що надання таких послуг відповідає мінімальним нормам безпеки та якості, держава зазвичай гарантує, що такі критерії дотримані, видаючи ліцензії надавачам послуг.</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Ступінь урегульованості соціальних послуг може бути різним в залежності від самої послуги. Проте, зазвичай законодавчо регулюються ті послуги, які потребують ліцензування. Такий приклад передбачений в Соціальному акті Угорщини, який визначає установи соціального піклування як такі, що надають послуги базового та спеціалізованого піклування.</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Надання деяких соціальних послуг може не вимагати ліцензування, але потребувати повідомлення державним органам. Наприклад, у Франції догляд за дітьми та дорослими, за виключенням інвалідів та престарілих, не потребує ліцензування, але вимагає повідомлення про це органам державної влади.</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Регламентовані соціальні послуги повинні бути ліцензовані незалежно від того, ким вони надаються - фізичною або юридичною особою. Французькі суб'єкти, визначені як соціальні та медико-соціальні установи, а також фізичні особи, що здійснюють догляд за більш ніж трьома інвалідами або престарілими особами за гроші, підлягають ліцензуванню перш, ніж вони почнуть таку діяльність. В Люксембурзі існують такі ж законодавчі вимоги щодо фізичних та юридичних осіб. Насправді, згідно Статті 1 Закону від 8 вересня 1998 р., що регулює відносини між державою та організаціями, що проводять діяльність в соціальній, родинній та терапевтичній сферах, будь-яка особа (будь то фізична або юридична, приватна або державна), що надає на регулярній основі послуги, які мають за основу соціальну, соціально-освітню, меди-ко-соціальну або терапевтичну мету, повинна отримати письмову ліцензію задля здійснення такої діяльності. Тобто можна наголосити, що вимоги до ліцензування є загальним правилом як для приватних, так і для державних надавачів соціальних послуг.</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 xml:space="preserve">Також, в багатьох унітарних державах, навіть якщо надання соціальних послуг лежить в компетенції місцевих органів влади, насправді мінімальні норми забезпечення соціальних послуг встановлює міністерство, що відповідає за соціальні питання. Зокрема, в Італії органи місцевої влади мають повноваження щодо встановлення критеріїв ліцензування соціальних послуг в місцевому </w:t>
      </w:r>
      <w:r w:rsidRPr="00D032BB">
        <w:rPr>
          <w:rFonts w:ascii="Georgia" w:hAnsi="Georgia"/>
          <w:color w:val="222222"/>
          <w:lang w:val="uk-UA"/>
        </w:rPr>
        <w:lastRenderedPageBreak/>
        <w:t>законодавстві. В свою чергу, регіональне законодавство повинне відповідати мінімальним національним вимогам, встановленим наказом Міністерства соціальної солідарності. В Іспанії немає національного законодавства, </w:t>
      </w:r>
      <w:r w:rsidRPr="00D032BB">
        <w:rPr>
          <w:rFonts w:ascii="Georgia" w:hAnsi="Georgia"/>
          <w:i/>
          <w:iCs/>
          <w:color w:val="222222"/>
          <w:lang w:val="uk-UA"/>
        </w:rPr>
        <w:t>яке б регулювало соціальні послуги,</w:t>
      </w:r>
      <w:r w:rsidRPr="00D032BB">
        <w:rPr>
          <w:rFonts w:ascii="Georgia" w:hAnsi="Georgia"/>
          <w:color w:val="222222"/>
          <w:lang w:val="uk-UA"/>
        </w:rPr>
        <w:t> але кожна автономна республіка прийняла своє відповідне законодавство і свої правила проведення ліцензування та фінансові правила надання соціальних послуг.</w:t>
      </w:r>
    </w:p>
    <w:p w:rsidR="00D032BB" w:rsidRPr="00D032BB" w:rsidRDefault="00D032BB" w:rsidP="00D032BB">
      <w:pPr>
        <w:pStyle w:val="1"/>
        <w:spacing w:before="0" w:beforeAutospacing="0" w:after="0" w:afterAutospacing="0"/>
        <w:ind w:firstLine="709"/>
        <w:jc w:val="both"/>
        <w:rPr>
          <w:rFonts w:ascii="Georgia" w:hAnsi="Georgia"/>
          <w:b w:val="0"/>
          <w:bCs w:val="0"/>
          <w:color w:val="222222"/>
          <w:sz w:val="24"/>
          <w:szCs w:val="24"/>
          <w:lang w:val="uk-UA"/>
        </w:rPr>
      </w:pPr>
      <w:r w:rsidRPr="00D032BB">
        <w:rPr>
          <w:rFonts w:ascii="Georgia" w:hAnsi="Georgia"/>
          <w:b w:val="0"/>
          <w:bCs w:val="0"/>
          <w:color w:val="222222"/>
          <w:sz w:val="24"/>
          <w:szCs w:val="24"/>
          <w:lang w:val="uk-UA"/>
        </w:rPr>
        <w:t>Механізми фінансування неурядових організацій в якості надавачів соціальних послуг</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Непряме фінансування НУО, які працюють у сфері соціальних послуг, передбачає фінансування через схему соціального забезпечення, звільнення від податку, особливо у випадках, коли це стосується комерційної діяльності цих організацій, а також заохочувальних та добровольчих </w:t>
      </w:r>
      <w:r w:rsidRPr="00D032BB">
        <w:rPr>
          <w:rFonts w:ascii="Georgia" w:hAnsi="Georgia"/>
          <w:i/>
          <w:iCs/>
          <w:color w:val="222222"/>
          <w:lang w:val="uk-UA"/>
        </w:rPr>
        <w:t>робіт.</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Зокрема, схема соціального забезпечення надає прямо або непрямо (за допомогою безпосереднього переказу користувачу) кошти на оплату витрат, пов'язаних із отриманням необхідної соціальної допомоги. У Франції аванси на медичні витрати надаються соціальним та медико-соціальним закладам з Державного фонду соціального забезпечення (національне державне соціальне страхування).</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Кожен рік на ці заклади (державні або неприбуткові) розподіляються кошти, виходячи з очікуваної вартості медичних послуг, які покриваються соціальним забезпеченням на рік.</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Кошти також можуть виплачуватися безпосередньо користувачам. У Нідерландах інваліди отримують "персональні бюджети" - фіксовану суму грошей, які вони можуть сплатити тому надавачу послуг, якого самі оберуть.</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Ця допомога користувачам може також мати форму ваучеру, який дозволяє особі, що отримує допомогу, скористатися послугами ліцензованих державних або приватних соціальних закладів. Такий вид допомоги існує в Італії, де муніципальні ради надають прийнятним користувачам ваучери, які дозволяють їм розраховуватися с постачальниками соціальних послуг. Критерій для видачі цих ваучерів встановлюється місцевими органами самоврядування відповідно до основних національних критеріїв. Потім постачальники можуть компенсувати вартість ваучерів, отриманих від користувачів, у місцевого уряду.</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НУО, які займаються благодійною діяльністю і таким чином надають соціальні послуги, отримують пільги на сплату ПДВ, мита, податку на доходи підприємства, як пасивні, так і активні. Винятки щодо активних доходів, а саме, щодо податку на комерційну діяльність, чітко регулюються.</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Розглядаючи проблематику заохочування робочої сили у НУО, зазначимо, що робоча сила - це значні затрати для постачальників соціальних послуг, особливо через те, що ця робоча сила повинна бути кваліфікованою. Тому у багатьох західних країнах деякі заходи були вжиті заради стимулювання волонтерської праці. Часто це впливає на трудове законодавство. Наприклад, стимулювання волонтерства можна знайти у Чеській Республіці, де Закон про цивільну військову службу передбачає заохочувальні засоби для волонтерів, що працюють в НУО. В якості альтернативи основній військовій службі молоді люди можуть протягом двох років проходити "цивільну службу". Вони можуть робити це у державних закладах або НУО, включаючи ті, що діють у сфері шпиталів та соціальних послуг. Схожі можливості надаються статтею 25 закону Польщі про діяльність заради суспільного блага та волонтерство.</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 xml:space="preserve">Інші механізми стосуються реінтеграції довгостроково безробітних людей в ринок праці. Наприклад, стаття 144 голландського Акту про матеріальні виплати на утримання (Subsistence Benefit Act) передбачає, що місцеві офіси соціального забезпечення повинні виплачувати символічну суму, приблизно в 45 євро на </w:t>
      </w:r>
      <w:r w:rsidRPr="00D032BB">
        <w:rPr>
          <w:rFonts w:ascii="Georgia" w:hAnsi="Georgia"/>
          <w:color w:val="222222"/>
          <w:lang w:val="uk-UA"/>
        </w:rPr>
        <w:lastRenderedPageBreak/>
        <w:t>місяць, безробітнім людям, які погоджуються добровільно виступати засобом для реінтеграції ринку праці.</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Подібним чином бельгійське соціальне законодавство намагається вирішити проблему осіб, які були виключені з соціальної системи, надаючи їм робочі місця, та реінтегруючи їх до соціальної сфери. Насправді особи повинні робити внески до планів державної соціальної схеми для того, щоб підпадати під дію системи. Внески до системи можуть бути зроблені лише через утримання соціальних внесків із зарплатні. Отже, центри соціальної допомоги активно шукають робоче місце для особи. Якщо центру не вдається знайти роботу для особи, він укладає тимчасовий трудовий контракт з особою та направляє її на роботи до іншого центру, різноманітних місцевих органів самоврядування або НУО, які працюють заради соціально блага, зокрема до тих, хто надає соціальні послуги.</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Також слід зазначити, що у більшості західних та центральних європейських країн, держави надають юридичним та фізичним особам певні податкові пільги за їх внески до благодійних організацій. Такі пільги відрізняються у кожній країні. Методи обчислення пільг можуть бути різними та країни можуть надавати їх більше або менше у залежності від обсягу, який може бути заявленим на пільги. Спектр практик у цій сфері дуже численний. Наприклад, у той час, як у Швеції не передбачаються ніякі податкові пільги, у інших країнах, таких як Греція, Естонія та Литва (стосовно пожертвувань фізичних осіб) не обмежуються суми, які особи або комерційні підприємства можуть утримувати з їх прибутків, що оподатковуються.</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Зокрема, у той час, як зниження податків - це найбільш поширений вид пільг, які надаються у випадку пожертвувань, небагато країн надають пільгові кредити, коли пожертвування здійснюються фізичними особами. Прикладами держав, що надають податкові кредити донорам-фізичним особам, слугують Франція, Італія та Іспанія, де особи отримують податкові кредити у розмірах 16-66 % відповідно до їх внесків до певних видів благодійних організацій. Тим не менш, деякі інші західноєвропейські країни віддають перевагу механізму надання права зменшення податків донорам-фізичним особам.</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Польща прийняла законодавство, яке зазвичай зветься "Закон 1 %", а насправді є податковим кредитом у 1 % для фізичних осіб. Система не є найефективнішою системою податкового кредитування, бо вимагає, що для того, щоб особа-платник податків отримала свій податковий кредит, пожертвування повинно бути здійснено шляхом банківського переказу. Це не стимулює платників податків здійснювати різні менші пожертви протягом фіскального року.</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Механізм, який називається "відсоткові закони", був впроваджений в Іспанії у 1979 році і стосувався пожертвувань Церкві. Цей механізм був поширений у </w:t>
      </w:r>
      <w:r w:rsidRPr="00D032BB">
        <w:rPr>
          <w:rFonts w:ascii="Georgia" w:hAnsi="Georgia"/>
          <w:i/>
          <w:iCs/>
          <w:color w:val="222222"/>
          <w:lang w:val="uk-UA"/>
        </w:rPr>
        <w:t>2000 році</w:t>
      </w:r>
      <w:r w:rsidRPr="00D032BB">
        <w:rPr>
          <w:rFonts w:ascii="Georgia" w:hAnsi="Georgia"/>
          <w:color w:val="222222"/>
          <w:lang w:val="uk-UA"/>
        </w:rPr>
        <w:t> на соціальні цілі. Фізичні особи можуть призначити до 0,5239 % їхнього податкового зобов'язання Церкві та до 0,5239 % на соціальні цілі. Кожний рік закон про бюджет визначає мінімальну загальну національну суму, яка повинна буди виділена на такі цілі. Якщо пожертвувань платників податків недостатньо для того, щоб покрити цю суму, тоді держава компенсує різницю. Вісімдесят відсотків цих фондів управляються Міністерством соціальних та трудових справ, яке в свою чергу надає ці фонди НУО, які ведуть соціальну діяльність або інші соціальні програми.</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Відсоткові механізми стають дуже популярними у країнах, що приєдналися до ЄС у травні 2001 р. Такі механізми діють, наприклад, в Угорщині та Словаччині. Вони відрізняються від механізму, що діє в Іспанії, описаному вище, бо тут платник податків сам обирає НУО, яке він фінансує. Службовці, які отримують постійну платню, можуть зробити запит через свого роботодавця, щоб до 1 % від податку на прибутки, який утримується з джерела, був асигнований до НУО за їх вибором.</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 xml:space="preserve">В цілому, загальна практика дозволяє юридичним особам утримувати процент прибутків, що підлягають оподаткуванню, на їх благодійні внески. Наприклад, німецькі корпорації можуть утримувати до 10 % від їхніх пожертвувань </w:t>
      </w:r>
      <w:r w:rsidRPr="00D032BB">
        <w:rPr>
          <w:rFonts w:ascii="Georgia" w:hAnsi="Georgia"/>
          <w:color w:val="222222"/>
          <w:lang w:val="uk-UA"/>
        </w:rPr>
        <w:lastRenderedPageBreak/>
        <w:t>благодійним, культурним та науковим організаціям та до 5 % від внесків до інших організацій соціального забезпечення. Звичайним також є те, що межа встановлюється в податковому законодавстві відносно мінімальних сум утримання. Таку практику можна зустріти у Данії, де юридичні особи можуть утримувати лише внески на суму від 5 тис. датських крон та до 15 % їхнього прибутку, що оподатковується.</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У деяких кранах, таких як Франція або Німеччина, дозволено обчислювати податкові пільги відносно річного обігу фізичної особи. У той час, як у Франції фізичні особи мають пільги від податкового кредитування від 60 % суми їхніх внесків до 0,5 % річного обігу організаціям державної допомоги, у Німеччині, вони можуть лише обрати обчислення відносно прибутку, який оподатковується, або їхнього річного обігу. Наприклад, комерційне підприємство може вибрати між тим, чи утримувати до 5 % (або до 10 % у деяких випадках) від їхнього чистого прибутку або до 0,2 % їхнього річного обігу від їхніх благодійних внесків.</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Підводячи підсумки, зазначимо, що держава намагається делегувати все більш видів соціальних послуг на надання приватним сектором. По суті, в Італії принцип субсидіарності, як вертикальної, так і горизонтальної, є основою надання соціальних послуг. Горизонтальна субсидіарність застосовується тоді, коли пріоритет надання соціальних послуг належить приватному сектору.</w:t>
      </w:r>
    </w:p>
    <w:p w:rsidR="00D032BB" w:rsidRPr="00D032BB" w:rsidRDefault="00D032BB" w:rsidP="00D032BB">
      <w:pPr>
        <w:pStyle w:val="a3"/>
        <w:spacing w:before="0" w:beforeAutospacing="0" w:after="0" w:afterAutospacing="0"/>
        <w:ind w:firstLine="709"/>
        <w:jc w:val="both"/>
        <w:rPr>
          <w:rFonts w:ascii="Georgia" w:hAnsi="Georgia"/>
          <w:color w:val="222222"/>
          <w:lang w:val="uk-UA"/>
        </w:rPr>
      </w:pPr>
      <w:r w:rsidRPr="00D032BB">
        <w:rPr>
          <w:rFonts w:ascii="Georgia" w:hAnsi="Georgia"/>
          <w:color w:val="222222"/>
          <w:lang w:val="uk-UA"/>
        </w:rPr>
        <w:t>Згідно нього, лише за умови нестачі надання соціальних послуг приватним сектором органи державної влади можуть взяти справу на себе. Подібним чином принцип субсидіарності закріплений в конституції Німеччини та має значний вплив на надання соціальних послуг. У Німеччині НУО є найбільшими постачальниками соціальних послуг. За ними йде комерційний сектор, а далі - державний. Така "приватизація" соціального сектору може бути встановлена самою державою за допомогою механізмів дотацій та постачання.</w:t>
      </w:r>
    </w:p>
    <w:p w:rsidR="00D032BB" w:rsidRPr="00D032BB" w:rsidRDefault="00D032BB" w:rsidP="00D032BB">
      <w:pPr>
        <w:pStyle w:val="1"/>
        <w:spacing w:before="0" w:beforeAutospacing="0" w:after="0" w:afterAutospacing="0"/>
        <w:ind w:firstLine="709"/>
        <w:jc w:val="both"/>
        <w:rPr>
          <w:rFonts w:ascii="Georgia" w:hAnsi="Georgia"/>
          <w:b w:val="0"/>
          <w:bCs w:val="0"/>
          <w:color w:val="222222"/>
          <w:sz w:val="24"/>
          <w:szCs w:val="24"/>
          <w:lang w:val="uk-UA"/>
        </w:rPr>
      </w:pPr>
    </w:p>
    <w:p w:rsidR="00686AD9" w:rsidRPr="00D032BB" w:rsidRDefault="00686AD9" w:rsidP="00D032BB">
      <w:pPr>
        <w:spacing w:after="0" w:line="240" w:lineRule="auto"/>
        <w:ind w:firstLine="709"/>
        <w:jc w:val="both"/>
        <w:outlineLvl w:val="0"/>
        <w:rPr>
          <w:sz w:val="24"/>
          <w:szCs w:val="24"/>
          <w:lang w:val="uk-UA"/>
        </w:rPr>
      </w:pPr>
    </w:p>
    <w:sectPr w:rsidR="00686AD9" w:rsidRPr="00D03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A3C"/>
    <w:multiLevelType w:val="multilevel"/>
    <w:tmpl w:val="CC5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9414B"/>
    <w:multiLevelType w:val="multilevel"/>
    <w:tmpl w:val="365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84EA2"/>
    <w:multiLevelType w:val="hybridMultilevel"/>
    <w:tmpl w:val="D49E42F4"/>
    <w:lvl w:ilvl="0" w:tplc="477E2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D49211F"/>
    <w:multiLevelType w:val="multilevel"/>
    <w:tmpl w:val="A48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B6273"/>
    <w:multiLevelType w:val="multilevel"/>
    <w:tmpl w:val="326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BB"/>
    <w:rsid w:val="001A326E"/>
    <w:rsid w:val="00686AD9"/>
    <w:rsid w:val="00D0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8043"/>
  <w15:chartTrackingRefBased/>
  <w15:docId w15:val="{D8526721-EBE0-4ED9-977D-6DEBC0E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3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3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032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2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032B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032BB"/>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D03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53262">
      <w:bodyDiv w:val="1"/>
      <w:marLeft w:val="0"/>
      <w:marRight w:val="0"/>
      <w:marTop w:val="0"/>
      <w:marBottom w:val="0"/>
      <w:divBdr>
        <w:top w:val="none" w:sz="0" w:space="0" w:color="auto"/>
        <w:left w:val="none" w:sz="0" w:space="0" w:color="auto"/>
        <w:bottom w:val="none" w:sz="0" w:space="0" w:color="auto"/>
        <w:right w:val="none" w:sz="0" w:space="0" w:color="auto"/>
      </w:divBdr>
    </w:div>
    <w:div w:id="954561576">
      <w:bodyDiv w:val="1"/>
      <w:marLeft w:val="0"/>
      <w:marRight w:val="0"/>
      <w:marTop w:val="0"/>
      <w:marBottom w:val="0"/>
      <w:divBdr>
        <w:top w:val="none" w:sz="0" w:space="0" w:color="auto"/>
        <w:left w:val="none" w:sz="0" w:space="0" w:color="auto"/>
        <w:bottom w:val="none" w:sz="0" w:space="0" w:color="auto"/>
        <w:right w:val="none" w:sz="0" w:space="0" w:color="auto"/>
      </w:divBdr>
    </w:div>
    <w:div w:id="1274247742">
      <w:bodyDiv w:val="1"/>
      <w:marLeft w:val="0"/>
      <w:marRight w:val="0"/>
      <w:marTop w:val="0"/>
      <w:marBottom w:val="0"/>
      <w:divBdr>
        <w:top w:val="none" w:sz="0" w:space="0" w:color="auto"/>
        <w:left w:val="none" w:sz="0" w:space="0" w:color="auto"/>
        <w:bottom w:val="none" w:sz="0" w:space="0" w:color="auto"/>
        <w:right w:val="none" w:sz="0" w:space="0" w:color="auto"/>
      </w:divBdr>
    </w:div>
    <w:div w:id="1304235208">
      <w:bodyDiv w:val="1"/>
      <w:marLeft w:val="0"/>
      <w:marRight w:val="0"/>
      <w:marTop w:val="0"/>
      <w:marBottom w:val="0"/>
      <w:divBdr>
        <w:top w:val="none" w:sz="0" w:space="0" w:color="auto"/>
        <w:left w:val="none" w:sz="0" w:space="0" w:color="auto"/>
        <w:bottom w:val="none" w:sz="0" w:space="0" w:color="auto"/>
        <w:right w:val="none" w:sz="0" w:space="0" w:color="auto"/>
      </w:divBdr>
    </w:div>
    <w:div w:id="1497307232">
      <w:bodyDiv w:val="1"/>
      <w:marLeft w:val="0"/>
      <w:marRight w:val="0"/>
      <w:marTop w:val="0"/>
      <w:marBottom w:val="0"/>
      <w:divBdr>
        <w:top w:val="none" w:sz="0" w:space="0" w:color="auto"/>
        <w:left w:val="none" w:sz="0" w:space="0" w:color="auto"/>
        <w:bottom w:val="none" w:sz="0" w:space="0" w:color="auto"/>
        <w:right w:val="none" w:sz="0" w:space="0" w:color="auto"/>
      </w:divBdr>
    </w:div>
    <w:div w:id="1934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2021-03-06T08:06:00Z</dcterms:created>
  <dcterms:modified xsi:type="dcterms:W3CDTF">2021-03-06T08:22:00Z</dcterms:modified>
</cp:coreProperties>
</file>