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B5C" w:rsidRPr="00FD527E" w:rsidRDefault="00F42B5C" w:rsidP="00FD52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27E">
        <w:rPr>
          <w:rFonts w:ascii="Times New Roman" w:hAnsi="Times New Roman" w:cs="Times New Roman"/>
          <w:b/>
          <w:sz w:val="28"/>
          <w:szCs w:val="28"/>
          <w:lang w:val="uk-UA"/>
        </w:rPr>
        <w:t>ДИВЕРСИФІКАЦІЯ СІЛЬСЬКОГО ТУРИЗМУ ЧЕРЕЗ ЗБАЛАНСОВАНІСТЬ ТА КРЕАТИВНІСТЬ: ПОШИРЕННЯ ЄВРОПЕЙСЬКОГО ДОСВІДУ В УКРАЇНІ</w:t>
      </w:r>
    </w:p>
    <w:p w:rsidR="00F42B5C" w:rsidRPr="00FD527E" w:rsidRDefault="00F42B5C" w:rsidP="00FD527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2B5C" w:rsidRPr="00FD527E" w:rsidRDefault="00F42B5C" w:rsidP="00FD5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D527E">
        <w:rPr>
          <w:rFonts w:ascii="Times New Roman" w:hAnsi="Times New Roman" w:cs="Times New Roman"/>
          <w:b/>
          <w:sz w:val="28"/>
          <w:szCs w:val="28"/>
          <w:lang w:val="uk-UA"/>
        </w:rPr>
        <w:t>Поточний заліковий модуль 3</w:t>
      </w:r>
      <w:bookmarkStart w:id="0" w:name="_Hlk64110125"/>
      <w:r w:rsidRPr="00FD52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D527E">
        <w:rPr>
          <w:rFonts w:ascii="Times New Roman" w:hAnsi="Times New Roman" w:cs="Times New Roman"/>
          <w:sz w:val="28"/>
          <w:szCs w:val="28"/>
          <w:lang w:val="uk-UA"/>
        </w:rPr>
        <w:t>Креативні технології туризму для сталого розвитку: теоретичні аспекти та європейський досвід</w:t>
      </w:r>
      <w:bookmarkEnd w:id="0"/>
    </w:p>
    <w:p w:rsidR="00F42B5C" w:rsidRPr="00FD527E" w:rsidRDefault="00F42B5C" w:rsidP="00FD527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42B5C" w:rsidRPr="00FD527E" w:rsidRDefault="00F42B5C" w:rsidP="00FD52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2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Самостійна робота № </w:t>
      </w:r>
      <w:r w:rsidR="00B01AA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71026B" w:rsidRDefault="00B01AA7" w:rsidP="00FD527E">
      <w:pPr>
        <w:spacing w:after="0" w:line="240" w:lineRule="auto"/>
        <w:ind w:firstLine="567"/>
        <w:jc w:val="center"/>
        <w:rPr>
          <w:lang w:val="uk-UA"/>
        </w:rPr>
      </w:pPr>
      <w:r w:rsidRPr="00B01AA7">
        <w:rPr>
          <w:rFonts w:ascii="Times New Roman" w:hAnsi="Times New Roman" w:cs="Times New Roman"/>
          <w:b/>
          <w:sz w:val="28"/>
          <w:szCs w:val="28"/>
          <w:lang w:val="uk-UA"/>
        </w:rPr>
        <w:t>Аксіологічні (ціннісні) аспекти цифрових технологій туристичного бізнесу</w:t>
      </w:r>
    </w:p>
    <w:p w:rsidR="00B01AA7" w:rsidRPr="00FD527E" w:rsidRDefault="00B01AA7" w:rsidP="00FD52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42B5C" w:rsidRPr="00FD527E" w:rsidRDefault="00F42B5C" w:rsidP="00FD52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FD52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Викладач: </w:t>
      </w:r>
      <w:r w:rsidR="00FD527E" w:rsidRPr="00FD527E"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>Воронкова В.Г.,</w:t>
      </w:r>
      <w:r w:rsidR="00FD527E" w:rsidRPr="00FD527E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proofErr w:type="spellStart"/>
      <w:r w:rsidR="00FD527E" w:rsidRPr="00FD527E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д.ф.н</w:t>
      </w:r>
      <w:proofErr w:type="spellEnd"/>
      <w:r w:rsidR="00FD527E" w:rsidRPr="00FD527E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., проф. кафедри менеджменту організацій та управління проєктами Інженерного інституту ЗНУ</w:t>
      </w:r>
    </w:p>
    <w:p w:rsidR="00F42B5C" w:rsidRPr="00FD527E" w:rsidRDefault="00F42B5C" w:rsidP="00FD527E">
      <w:pPr>
        <w:pBdr>
          <w:between w:val="nil"/>
        </w:pBd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42B5C" w:rsidRPr="00FD527E" w:rsidRDefault="00F42B5C" w:rsidP="00FD52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D527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Методичні рекомендації до самостійної роботи № </w:t>
      </w:r>
      <w:r w:rsidR="00B01A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</w:p>
    <w:p w:rsidR="00F42B5C" w:rsidRPr="00FD527E" w:rsidRDefault="00F42B5C" w:rsidP="00FD52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527E" w:rsidRPr="00FD527E" w:rsidRDefault="00F42B5C" w:rsidP="00FD527E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527E">
        <w:rPr>
          <w:rFonts w:ascii="Times New Roman" w:eastAsia="Calibri" w:hAnsi="Times New Roman" w:cs="Times New Roman"/>
          <w:sz w:val="28"/>
          <w:szCs w:val="28"/>
          <w:lang w:val="uk-UA"/>
        </w:rPr>
        <w:t>Опрацювати матеріали лекцій 1</w:t>
      </w:r>
      <w:r w:rsidR="00B01AA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FD52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D527E" w:rsidRPr="00FD527E" w:rsidRDefault="00FD527E" w:rsidP="00FD527E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527E">
        <w:rPr>
          <w:rFonts w:ascii="Times New Roman" w:eastAsia="Calibri" w:hAnsi="Times New Roman" w:cs="Times New Roman"/>
          <w:sz w:val="28"/>
          <w:szCs w:val="28"/>
          <w:lang w:val="uk-UA"/>
        </w:rPr>
        <w:t>Виконати</w:t>
      </w:r>
      <w:r w:rsidR="00F42B5C" w:rsidRPr="00FD52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D52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1-6. </w:t>
      </w:r>
    </w:p>
    <w:p w:rsidR="00580DFE" w:rsidRPr="00B01AA7" w:rsidRDefault="00F42B5C" w:rsidP="00FD527E">
      <w:pPr>
        <w:numPr>
          <w:ilvl w:val="0"/>
          <w:numId w:val="4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B01AA7">
        <w:rPr>
          <w:rFonts w:ascii="Times New Roman" w:hAnsi="Times New Roman" w:cs="Times New Roman"/>
          <w:sz w:val="28"/>
          <w:szCs w:val="28"/>
          <w:lang w:val="uk-UA"/>
        </w:rPr>
        <w:t xml:space="preserve">Форма перевірки: </w:t>
      </w:r>
      <w:r w:rsidR="00B01AA7">
        <w:rPr>
          <w:rFonts w:ascii="Times New Roman" w:hAnsi="Times New Roman"/>
          <w:sz w:val="28"/>
          <w:szCs w:val="28"/>
          <w:lang w:val="uk-UA"/>
        </w:rPr>
        <w:t>усне опитування.</w:t>
      </w:r>
    </w:p>
    <w:p w:rsidR="0082586E" w:rsidRPr="00B01AA7" w:rsidRDefault="00FD527E" w:rsidP="00B01A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1AA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</w:t>
      </w:r>
    </w:p>
    <w:p w:rsidR="00B01AA7" w:rsidRPr="00B01AA7" w:rsidRDefault="00B01AA7" w:rsidP="00B01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01AA7">
        <w:rPr>
          <w:rFonts w:ascii="Times New Roman" w:hAnsi="Times New Roman"/>
          <w:sz w:val="28"/>
          <w:szCs w:val="28"/>
          <w:lang w:val="uk-UA"/>
        </w:rPr>
        <w:t xml:space="preserve">Аксіологічні (ціннісні) аспекти цифрових технологій туристичного бізнесу як нова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кроскультурної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комунікації туристичної  діяльності ЄС і України. Розширення культурологічних функцій цифрових технологій туристичного бізнесу. Цінності і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регулятиви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>, за допомогою яких визначається певний вид культурно-ціннісного споживання. ЄС і Україна  створюють умови пошуку креативності у процесі туристичного б</w:t>
      </w:r>
      <w:bookmarkStart w:id="1" w:name="_GoBack"/>
      <w:bookmarkEnd w:id="1"/>
      <w:r w:rsidRPr="00B01AA7">
        <w:rPr>
          <w:rFonts w:ascii="Times New Roman" w:hAnsi="Times New Roman"/>
          <w:sz w:val="28"/>
          <w:szCs w:val="28"/>
          <w:lang w:val="uk-UA"/>
        </w:rPr>
        <w:t xml:space="preserve">ізнесу. Креативний туризм як складна система комунікаційних творчих процесів виступає каталізатором міжкультурної комунікації, діалогом культур і цивілізацій. Креативний туризм як культурний конструкт сучасного суспільства виступає  стратегічним напрямом формування ціннісних орієнтацій особистості. Аксіологічні (ціннісні) аспекти цифрових технологій туристичного бізнесу дозволяють виявити найбільш суттєві характеристики туризму, сприяють взаємовпливу і взаємопроникненню культур та зростанню популярності туризму (сільського,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агротуризму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ділового, наукового тощо).  Креативний туризм як багатопланове соціальне, культурне та економічне явище охоплює всі сфери сучасного суспільства і життя особистості, слугує однією з найбільш важливих сфер досягнення добробуту країни та  її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процвітання.Туризм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є одним із феноменів крос-культурної комунікації, що являє собою складне й суперечливе явище, на яке істотно впливають економічний, політичний, соціокультурний, демографічний чинники, у тому числі базові цінності культури. </w:t>
      </w:r>
    </w:p>
    <w:p w:rsidR="00B01AA7" w:rsidRPr="00B01AA7" w:rsidRDefault="00B01AA7" w:rsidP="00B01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01AA7">
        <w:rPr>
          <w:rFonts w:ascii="Times New Roman" w:hAnsi="Times New Roman"/>
          <w:sz w:val="28"/>
          <w:szCs w:val="28"/>
          <w:lang w:val="uk-UA"/>
        </w:rPr>
        <w:t xml:space="preserve">Удосконалення комунікаційних трендів  розвитку туризму як чинник розвитку Четвертої промислової революції. В основі концепції розвитку </w:t>
      </w:r>
      <w:r w:rsidRPr="00B01AA7">
        <w:rPr>
          <w:rFonts w:ascii="Times New Roman" w:hAnsi="Times New Roman"/>
          <w:sz w:val="28"/>
          <w:szCs w:val="28"/>
          <w:lang w:val="uk-UA"/>
        </w:rPr>
        <w:lastRenderedPageBreak/>
        <w:t xml:space="preserve">комунікаційних трендів туризму - пріоритет інформаційних технологій, застосування цифрової трансформації ділового та інших видів туризму, трансформація моделей туризму (зелений, сільський, присвячений подіям, науковий  тощо). Туризм як новий рушій сучасного суспільства, в основі якого використання спеціального програмного забезпечення, інноваційного просування туристичного продукту через  Інтернет. Креативна інфраструктура як невід'ємна частина виробництва туристичних послуг і  як органічна єдність послуг, інфраструктури, проривних технологій. Концепція удосконалення комунікаційних трендів туризму включає: 1)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Data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туризму ; 2) розвиток креативного смарт-туризму, що є різновидом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Data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туризму; 3) електронний туризм (E-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tourism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); 4)туризм як індустрія цифрового суспільства і розвитку креативних технологій, в основі яких використання Інтернету речей. Креативний смарт-туризм як  новий вид туризму, який приваблює туристів і місцевих жителів для реалізації туристичних потреб на принципах співтворчості. В основі креативності смарт-туризму – здатність створювати знання на основі інформації, яка сприяє самореалізації і саморозвитку особистості. Пріоритетні напрями аксіологічних вимірів туризму - розвиток інновацій у туризмі як ключовий ресурс туристичної діяльності; розвиток цінностей особистості  - свобода, творчість, самоактуалізація, культурний і освітній розвиток, інформаційна культура, спілкування. Вплив Інтернет-технологій та інтернет-культури на розвиток туризму як культурно-комунікаційного процесу взаємовпливу народів. Туризм як багатоваріантність можливостей вільного вибору особистості та пізнання буття, менталітету, культури, історії та способу життя народів,  що вимагає адаптації людини до умов іншого буття і менталітету. Креативна орієнтація туризму виступає як рушійна сила та процес конкурентоспроможності країн ЄС і України. </w:t>
      </w:r>
    </w:p>
    <w:p w:rsidR="00B01AA7" w:rsidRPr="00B01AA7" w:rsidRDefault="00B01AA7" w:rsidP="00B01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AA7" w:rsidRPr="00B01AA7" w:rsidRDefault="00B01AA7" w:rsidP="00B01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AA7" w:rsidRPr="00B01AA7" w:rsidRDefault="00B01AA7" w:rsidP="00B01AA7">
      <w:pPr>
        <w:spacing w:after="0" w:line="240" w:lineRule="auto"/>
        <w:ind w:right="57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1AA7">
        <w:rPr>
          <w:rFonts w:ascii="Times New Roman" w:hAnsi="Times New Roman"/>
          <w:b/>
          <w:sz w:val="28"/>
          <w:szCs w:val="28"/>
          <w:lang w:val="uk-UA"/>
        </w:rPr>
        <w:t>Завдання 1. Дискусія, присвячена обговоренню щодо в</w:t>
      </w:r>
      <w:r w:rsidRPr="00B01AA7">
        <w:rPr>
          <w:rFonts w:ascii="Times New Roman" w:hAnsi="Times New Roman"/>
          <w:sz w:val="28"/>
          <w:szCs w:val="28"/>
          <w:lang w:val="uk-UA"/>
        </w:rPr>
        <w:t xml:space="preserve">пливу  </w:t>
      </w:r>
      <w:r w:rsidRPr="00B01AA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B01AA7" w:rsidRPr="00B01AA7" w:rsidRDefault="00B01AA7" w:rsidP="00B01AA7">
      <w:pPr>
        <w:spacing w:after="0" w:line="240" w:lineRule="auto"/>
        <w:ind w:right="57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1AA7">
        <w:rPr>
          <w:rFonts w:ascii="Times New Roman" w:hAnsi="Times New Roman"/>
          <w:sz w:val="28"/>
          <w:szCs w:val="28"/>
          <w:lang w:val="uk-UA"/>
        </w:rPr>
        <w:t xml:space="preserve">Підготовчий етап: саморефлексія  понять «креативний туризм» «сталий розвиток», «Інтернет-культура»,  «цифрова культура»». </w:t>
      </w:r>
    </w:p>
    <w:p w:rsidR="00B01AA7" w:rsidRPr="00B01AA7" w:rsidRDefault="00B01AA7" w:rsidP="00B01AA7">
      <w:pPr>
        <w:spacing w:after="0" w:line="240" w:lineRule="auto"/>
        <w:ind w:right="57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1AA7">
        <w:rPr>
          <w:rFonts w:ascii="Times New Roman" w:hAnsi="Times New Roman"/>
          <w:sz w:val="28"/>
          <w:szCs w:val="28"/>
        </w:rPr>
        <w:t xml:space="preserve">1.1 </w:t>
      </w:r>
      <w:proofErr w:type="spellStart"/>
      <w:r w:rsidRPr="00B01AA7">
        <w:rPr>
          <w:rFonts w:ascii="Times New Roman" w:hAnsi="Times New Roman"/>
          <w:sz w:val="28"/>
          <w:szCs w:val="28"/>
        </w:rPr>
        <w:t>Викладач</w:t>
      </w:r>
      <w:proofErr w:type="spellEnd"/>
      <w:r w:rsidRPr="00B01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AA7">
        <w:rPr>
          <w:rFonts w:ascii="Times New Roman" w:hAnsi="Times New Roman"/>
          <w:sz w:val="28"/>
          <w:szCs w:val="28"/>
        </w:rPr>
        <w:t>запрошує</w:t>
      </w:r>
      <w:proofErr w:type="spellEnd"/>
      <w:r w:rsidRPr="00B01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AA7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B01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AA7">
        <w:rPr>
          <w:rFonts w:ascii="Times New Roman" w:hAnsi="Times New Roman"/>
          <w:sz w:val="28"/>
          <w:szCs w:val="28"/>
        </w:rPr>
        <w:t>сформулювати</w:t>
      </w:r>
      <w:proofErr w:type="spellEnd"/>
      <w:r w:rsidRPr="00B01A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AA7">
        <w:rPr>
          <w:rFonts w:ascii="Times New Roman" w:hAnsi="Times New Roman"/>
          <w:sz w:val="28"/>
          <w:szCs w:val="28"/>
        </w:rPr>
        <w:t>власне</w:t>
      </w:r>
      <w:proofErr w:type="spellEnd"/>
      <w:r w:rsidRPr="00B01AA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01AA7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B01AA7">
        <w:rPr>
          <w:rFonts w:ascii="Times New Roman" w:hAnsi="Times New Roman"/>
          <w:sz w:val="28"/>
          <w:szCs w:val="28"/>
        </w:rPr>
        <w:t xml:space="preserve"> </w:t>
      </w:r>
      <w:r w:rsidRPr="00B01AA7">
        <w:rPr>
          <w:rFonts w:ascii="Times New Roman" w:hAnsi="Times New Roman"/>
          <w:sz w:val="28"/>
          <w:szCs w:val="28"/>
          <w:lang w:val="uk-UA"/>
        </w:rPr>
        <w:t xml:space="preserve"> розширення</w:t>
      </w:r>
      <w:proofErr w:type="gramEnd"/>
      <w:r w:rsidRPr="00B01AA7">
        <w:rPr>
          <w:rFonts w:ascii="Times New Roman" w:hAnsi="Times New Roman"/>
          <w:sz w:val="28"/>
          <w:szCs w:val="28"/>
          <w:lang w:val="uk-UA"/>
        </w:rPr>
        <w:t xml:space="preserve"> культурологічних функцій цифрових технологій туристичного бізнесу</w:t>
      </w:r>
      <w:r w:rsidRPr="00B01AA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B01AA7" w:rsidRPr="00B01AA7" w:rsidRDefault="00B01AA7" w:rsidP="00B01AA7">
      <w:pPr>
        <w:pStyle w:val="a7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01AA7">
        <w:rPr>
          <w:rFonts w:ascii="Times New Roman" w:hAnsi="Times New Roman"/>
          <w:sz w:val="28"/>
          <w:szCs w:val="28"/>
          <w:lang w:val="uk-UA"/>
        </w:rPr>
        <w:t>1.2 Викладач запрошує студентів самостійно дати авторські визначення</w:t>
      </w:r>
      <w:r w:rsidRPr="00B01AA7">
        <w:rPr>
          <w:rFonts w:ascii="Times New Roman" w:hAnsi="Times New Roman"/>
          <w:sz w:val="28"/>
          <w:szCs w:val="28"/>
          <w:lang w:val="uk-UA" w:eastAsia="uk-UA"/>
        </w:rPr>
        <w:t xml:space="preserve"> комунікаційних трендів  розвитку туризму як чинник розвитку Четвертої промислової революції. </w:t>
      </w:r>
    </w:p>
    <w:p w:rsidR="00B01AA7" w:rsidRPr="00B01AA7" w:rsidRDefault="00B01AA7" w:rsidP="00B01AA7">
      <w:pPr>
        <w:spacing w:after="0" w:line="240" w:lineRule="auto"/>
        <w:ind w:right="57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1AA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01AA7">
        <w:rPr>
          <w:rFonts w:ascii="Times New Roman" w:hAnsi="Times New Roman"/>
          <w:sz w:val="28"/>
          <w:szCs w:val="28"/>
          <w:lang w:val="uk-UA"/>
        </w:rPr>
        <w:t xml:space="preserve"> Студенти порівнюють як відбувається </w:t>
      </w:r>
      <w:r w:rsidRPr="00B01A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01AA7">
        <w:rPr>
          <w:rFonts w:ascii="Times New Roman" w:hAnsi="Times New Roman"/>
          <w:sz w:val="28"/>
          <w:szCs w:val="28"/>
          <w:lang w:val="uk-UA"/>
        </w:rPr>
        <w:t>впливу аксіологічних (ціннісних) аспектів цифрових технологій туристичного бізнесу на особистість  в умовах туристичної  діяльності ЄС і України.</w:t>
      </w:r>
    </w:p>
    <w:p w:rsidR="00B01AA7" w:rsidRPr="00B01AA7" w:rsidRDefault="00B01AA7" w:rsidP="00B01AA7">
      <w:pPr>
        <w:spacing w:after="0" w:line="240" w:lineRule="auto"/>
        <w:ind w:right="57"/>
        <w:jc w:val="both"/>
        <w:rPr>
          <w:b/>
          <w:bCs/>
          <w:sz w:val="28"/>
          <w:szCs w:val="28"/>
          <w:lang w:val="uk-UA"/>
        </w:rPr>
      </w:pPr>
    </w:p>
    <w:p w:rsidR="00B01AA7" w:rsidRPr="00B01AA7" w:rsidRDefault="00B01AA7" w:rsidP="00B01A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AA7" w:rsidRPr="00B01AA7" w:rsidRDefault="00B01AA7" w:rsidP="00B01A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01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1AA7">
        <w:rPr>
          <w:rFonts w:ascii="Times New Roman" w:hAnsi="Times New Roman"/>
          <w:b/>
          <w:sz w:val="28"/>
          <w:szCs w:val="28"/>
          <w:lang w:val="uk-UA"/>
        </w:rPr>
        <w:t xml:space="preserve">Завдання 2. Викладач пропонує студентам на основі роботи </w:t>
      </w:r>
      <w:r w:rsidRPr="00B01AA7">
        <w:rPr>
          <w:rFonts w:ascii="Times New Roman" w:hAnsi="Times New Roman"/>
          <w:i/>
          <w:sz w:val="28"/>
          <w:szCs w:val="28"/>
          <w:lang w:val="uk-UA"/>
        </w:rPr>
        <w:t xml:space="preserve">Клауса Шваба «Четверта промислова революція, Формуючи четверту промислову революцію» (2019) </w:t>
      </w:r>
      <w:r w:rsidRPr="00B01AA7">
        <w:rPr>
          <w:rFonts w:ascii="Times New Roman" w:hAnsi="Times New Roman"/>
          <w:sz w:val="28"/>
          <w:szCs w:val="28"/>
          <w:lang w:val="uk-UA"/>
        </w:rPr>
        <w:t xml:space="preserve">проаналізувати та зробити власний висновок : «Четверта промислова революція стане джерелом величезних переваг, так і витоком великих ризиків. Особливу стурбованість викликає загострення нерівності. Ризики, пов’язані зі зростанням нерівності, складно виміряти, оскільки переважна кількість людей є і споживачами, і виробниками. Отже, інновації та революційні зміни і позитивно, і негативно відобразяться на стандартах нашого життя і добробуту. Для того, щоб виокремити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мегатренди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й окреслити розлогу панораму технологічних рушіїв Четвертої промислової революції, слід їх розділити на  три блоки: фізичний, цифровий і біологічний. Усі вони тісно  взаємопов’язані й живляться одне від одного»</w:t>
      </w:r>
      <w:r w:rsidRPr="00B01AA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01AA7" w:rsidRPr="00B01AA7" w:rsidRDefault="00B01AA7" w:rsidP="00B01A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AA7" w:rsidRPr="00B01AA7" w:rsidRDefault="00B01AA7" w:rsidP="00B01AA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1AA7">
        <w:rPr>
          <w:rFonts w:ascii="Times New Roman" w:hAnsi="Times New Roman"/>
          <w:b/>
          <w:sz w:val="28"/>
          <w:szCs w:val="28"/>
          <w:lang w:val="uk-UA"/>
        </w:rPr>
        <w:t>Завдання 3. Викладач пропонує студентам розширити сферу міркувань</w:t>
      </w:r>
      <w:r w:rsidRPr="00B01AA7">
        <w:rPr>
          <w:rFonts w:ascii="Times New Roman" w:hAnsi="Times New Roman"/>
          <w:sz w:val="28"/>
          <w:szCs w:val="28"/>
          <w:lang w:val="uk-UA"/>
        </w:rPr>
        <w:t xml:space="preserve">: «Історія Європи –  це передусім історія того, як економічна політика була здатна подолати  значні бар’єри на шляху до багатства, створені географією, кліматом, а також культурою. Скажімо, мандрівники, які 200 років тому подорожували в такі далекі краї, як Норвегія, не передбачали, що та країна зможе коли-небудь розвинутися далі», а головне у цьому було «прагнення дорівнятися до інших або перевершити їх у будь-якому досягненні чи рисі; також бажання чи амбіція бути нарівні або стати вище. Прагнення дорівнятись – це, власне, позитивне і активне зусилля, яке слід протиставити заздрощам і ревнощам, що включає стратегію порівняльних переваг та рух уперед» </w:t>
      </w:r>
      <w:r w:rsidRPr="00B01AA7">
        <w:rPr>
          <w:rFonts w:ascii="Times New Roman" w:hAnsi="Times New Roman"/>
          <w:i/>
          <w:sz w:val="28"/>
          <w:szCs w:val="28"/>
          <w:lang w:val="uk-UA"/>
        </w:rPr>
        <w:t xml:space="preserve">(Ерік С. </w:t>
      </w:r>
      <w:proofErr w:type="spellStart"/>
      <w:r w:rsidRPr="00B01AA7">
        <w:rPr>
          <w:rFonts w:ascii="Times New Roman" w:hAnsi="Times New Roman"/>
          <w:i/>
          <w:sz w:val="28"/>
          <w:szCs w:val="28"/>
          <w:lang w:val="uk-UA"/>
        </w:rPr>
        <w:t>Райнерт</w:t>
      </w:r>
      <w:proofErr w:type="spellEnd"/>
      <w:r w:rsidRPr="00B01AA7">
        <w:rPr>
          <w:rFonts w:ascii="Times New Roman" w:hAnsi="Times New Roman"/>
          <w:i/>
          <w:sz w:val="28"/>
          <w:szCs w:val="28"/>
          <w:lang w:val="uk-UA"/>
        </w:rPr>
        <w:t>. Як багаті країни збагатіли…. і чому бідні країни лишаються бідними, 2018).</w:t>
      </w:r>
    </w:p>
    <w:p w:rsidR="00B01AA7" w:rsidRPr="00B01AA7" w:rsidRDefault="00B01AA7" w:rsidP="00B01A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AA7" w:rsidRPr="00B01AA7" w:rsidRDefault="00B01AA7" w:rsidP="00B01A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AA7" w:rsidRPr="00B01AA7" w:rsidRDefault="00B01AA7" w:rsidP="00B01A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1AA7">
        <w:rPr>
          <w:rFonts w:ascii="Times New Roman" w:hAnsi="Times New Roman"/>
          <w:b/>
          <w:sz w:val="28"/>
          <w:szCs w:val="28"/>
          <w:lang w:val="uk-UA"/>
        </w:rPr>
        <w:t xml:space="preserve">Завдання 4. Викладач пропонує студентам прокоментувати Цілі сталого розвитку. </w:t>
      </w:r>
      <w:r w:rsidRPr="00B01AA7">
        <w:rPr>
          <w:rFonts w:ascii="Times New Roman" w:hAnsi="Times New Roman"/>
          <w:sz w:val="28"/>
          <w:szCs w:val="28"/>
          <w:lang w:val="uk-UA"/>
        </w:rPr>
        <w:t xml:space="preserve">Виходячи зі стану системної кризи, у 2015 році було сформовано «Порядок денний 2030», основну частину якого склали 17 цілей сталого розвитку (ЦСР), а також 169 цілей для визначення ЦСПР.  До ЦСР відносяться: 1-11 цілі – соціально-економічні; 12 – відповідає за стале споживання і виробництво, 13-15 – стосуються захисту довкілля, 16 –  миру, справедливості та створення інституцій, 17 – партнерства на шляху досягнення цілей. Перехід до сталості також стосується  невідкладних заходів для боротьби зі змінами клімату (Ціль 13), важливість збереження та поміркованого використання океанів, морів, морських ресурсів в межах сталого розвитку (Ціль 14); захист, відтворення та сприяння сталому використанню екосистем суші, стале управління лісами, боротьби за спустошенням довкілля, зупинення деградації земель та їх відновлення, а також зупинення втрати біологічного різноманіття (Ціль 15). Вочевидь, для </w:t>
      </w:r>
      <w:r w:rsidRPr="00B01AA7">
        <w:rPr>
          <w:rFonts w:ascii="Times New Roman" w:hAnsi="Times New Roman"/>
          <w:sz w:val="28"/>
          <w:szCs w:val="28"/>
          <w:lang w:val="uk-UA"/>
        </w:rPr>
        <w:lastRenderedPageBreak/>
        <w:t>країн, що розвиваються. пріоритетними є досягнення соціально-економічних Цілей сталого розвитку, наприклад подолання бідності (Ціль 1), покращення продовольчої безпеки (Ціль 2), охорони здоров’я (Ціль 3), освіти (Ціль 4) та працевлаштування для всіх  (Ціль 8). Компроміс між соціально-економічними цілями та екологічними є справді необхідним для переходу до суспільства сталого розвитку.</w:t>
      </w:r>
    </w:p>
    <w:p w:rsidR="00B01AA7" w:rsidRPr="00B01AA7" w:rsidRDefault="00B01AA7" w:rsidP="00B01A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AA7" w:rsidRPr="00B01AA7" w:rsidRDefault="00B01AA7" w:rsidP="00B01AA7">
      <w:pPr>
        <w:pStyle w:val="a8"/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1AA7">
        <w:rPr>
          <w:rFonts w:ascii="Times New Roman" w:hAnsi="Times New Roman"/>
          <w:b/>
          <w:sz w:val="28"/>
          <w:szCs w:val="28"/>
          <w:lang w:val="uk-UA"/>
        </w:rPr>
        <w:t xml:space="preserve">Завдання 5.  Викладач пропонує студентам зробити власні висновки відносно розвитку нових цінностей проривних технологій. </w:t>
      </w:r>
      <w:r w:rsidRPr="00B01AA7">
        <w:rPr>
          <w:rFonts w:ascii="Times New Roman" w:hAnsi="Times New Roman"/>
          <w:sz w:val="28"/>
          <w:szCs w:val="28"/>
          <w:lang w:val="uk-UA"/>
        </w:rPr>
        <w:t xml:space="preserve">Технології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біткойна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криптовалют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, що змінюють світ, дорівнюють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блокчейн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революції для розв’язання нагальних викликів сучасності, тому необхідно усвідомити їх могутність і потенціал.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Блокчейн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–  це новітня технологічна хвиля, що має розкрити справжній потенціал цифрової економіки.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Блокчейн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-революція – це сьогоденний ландшафт, що показує нам шлях до глобальної фінансової системи і глобального управління, що змінює світ.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Блокчейн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-революція готує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грунт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для хвилі технологічних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новаторств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, які тільки набирають силу, і мають здійснити революцію у фінансах і глобальному управлінні та мають намір здійснити глобальну економіку. Для цього керівництво повинно створити свою стратегію електронного врядування навколо таких понять, як децентралізація, взаємопов’язаність, відкритість та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кібербезпека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. Уряд має підтримувати інфраструктуру відповідно до вимог завтрашнього дня, щоб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підлаштуватись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під цілком нову модель. Усі громадяни країни мають мати доступ до он–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лайнових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послуг та інформації, щоб використовувати свою цифрову ідентичність, вести бізнес та оновлювати чи змінювати дані про себе. В країні слід також запровадити інфраструктуру підпису без ключа, що чудово інтегрується з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блокчейновою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технологією.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Блокчейн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трансформує не тільки природу компаній, а й їх фінансування та управління ними, у деяких випадках алгоритми повністю змінюють управління. </w:t>
      </w:r>
      <w:proofErr w:type="spellStart"/>
      <w:r w:rsidRPr="00B01AA7">
        <w:rPr>
          <w:rFonts w:ascii="Times New Roman" w:hAnsi="Times New Roman"/>
          <w:sz w:val="28"/>
          <w:szCs w:val="28"/>
          <w:lang w:val="uk-UA"/>
        </w:rPr>
        <w:t>Блокчейн</w:t>
      </w:r>
      <w:proofErr w:type="spellEnd"/>
      <w:r w:rsidRPr="00B01AA7">
        <w:rPr>
          <w:rFonts w:ascii="Times New Roman" w:hAnsi="Times New Roman"/>
          <w:sz w:val="28"/>
          <w:szCs w:val="28"/>
          <w:lang w:val="uk-UA"/>
        </w:rPr>
        <w:t xml:space="preserve"> змінює фундамент і структуру фірми, повністю трансформуючи моделі управління фірми і ролі керівників.</w:t>
      </w:r>
    </w:p>
    <w:p w:rsidR="00B01AA7" w:rsidRPr="00B01AA7" w:rsidRDefault="00B01AA7" w:rsidP="00B01AA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01AA7" w:rsidRPr="00B01AA7" w:rsidRDefault="00B01AA7" w:rsidP="00B01A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1AA7">
        <w:rPr>
          <w:rFonts w:ascii="Times New Roman" w:hAnsi="Times New Roman"/>
          <w:b/>
          <w:sz w:val="28"/>
          <w:szCs w:val="28"/>
          <w:lang w:val="uk-UA"/>
        </w:rPr>
        <w:t>Завдання 6</w:t>
      </w:r>
      <w:r w:rsidRPr="00B01AA7">
        <w:rPr>
          <w:rFonts w:ascii="Times New Roman" w:hAnsi="Times New Roman"/>
          <w:sz w:val="28"/>
          <w:szCs w:val="28"/>
          <w:lang w:val="uk-UA"/>
        </w:rPr>
        <w:t xml:space="preserve">.  Прокоментувати цінності мережевих обчислень. Хмарні обчислення підживлюють закон зростаючої ефективності, який ще називають мережевим ефектом. Автоматизація створює мільйони робочих місць в абсолютно нових галузях. З одного боку, прогрес у технологічних галузях збільшує прибутки, а з іншого – завдає удар по заробітній платі робітників, адже робітників замінюють машини. Оцифрування все більшої кількості інформації, товарів та послуг, стрімкий розвиток телекомунікацій та логістики, а також збільшення ролі мереж ведуть до того, що на перший план виступає глобальне управління всіма цими процесами. Глобальне управління в умовах Четвертої промислової революції буде сприяти упровадженню нових технологій для прискореного розвитку, нової освіти, яка дає студентам </w:t>
      </w:r>
      <w:r w:rsidRPr="00B01AA7">
        <w:rPr>
          <w:rFonts w:ascii="Times New Roman" w:hAnsi="Times New Roman"/>
          <w:sz w:val="28"/>
          <w:szCs w:val="28"/>
          <w:lang w:val="uk-UA"/>
        </w:rPr>
        <w:lastRenderedPageBreak/>
        <w:t>найостанніші знання і навички, необхідні в сучасних умовах, податкову систему, яка має стимулювати розвиток інноваційних підприємств і створення нових робочих місць.</w:t>
      </w:r>
    </w:p>
    <w:p w:rsidR="0082586E" w:rsidRPr="0071026B" w:rsidRDefault="0082586E" w:rsidP="00B01AA7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2586E" w:rsidRPr="0071026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5D5" w:rsidRDefault="007F15D5" w:rsidP="00F42B5C">
      <w:pPr>
        <w:spacing w:after="0" w:line="240" w:lineRule="auto"/>
      </w:pPr>
      <w:r>
        <w:separator/>
      </w:r>
    </w:p>
  </w:endnote>
  <w:endnote w:type="continuationSeparator" w:id="0">
    <w:p w:rsidR="007F15D5" w:rsidRDefault="007F15D5" w:rsidP="00F4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5D5" w:rsidRDefault="007F15D5" w:rsidP="00F42B5C">
      <w:pPr>
        <w:spacing w:after="0" w:line="240" w:lineRule="auto"/>
      </w:pPr>
      <w:r>
        <w:separator/>
      </w:r>
    </w:p>
  </w:footnote>
  <w:footnote w:type="continuationSeparator" w:id="0">
    <w:p w:rsidR="007F15D5" w:rsidRDefault="007F15D5" w:rsidP="00F4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B5C" w:rsidRPr="001C5351" w:rsidRDefault="00F42B5C" w:rsidP="00F42B5C">
    <w:pPr>
      <w:pStyle w:val="a3"/>
      <w:rPr>
        <w:noProof/>
      </w:rPr>
    </w:pPr>
    <w:r w:rsidRPr="000F05B6">
      <w:rPr>
        <w:noProof/>
      </w:rPr>
      <w:drawing>
        <wp:inline distT="0" distB="0" distL="0" distR="0" wp14:anchorId="31E6B26C" wp14:editId="7A5794E0">
          <wp:extent cx="841791" cy="535305"/>
          <wp:effectExtent l="0" t="0" r="0" b="0"/>
          <wp:docPr id="6" name="Рисунок 4">
            <a:extLst xmlns:a="http://schemas.openxmlformats.org/drawingml/2006/main">
              <a:ext uri="{FF2B5EF4-FFF2-40B4-BE49-F238E27FC236}">
                <a16:creationId xmlns:a16="http://schemas.microsoft.com/office/drawing/2014/main" id="{21068A47-353A-4C35-9613-0614F577AA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>
                    <a:extLst>
                      <a:ext uri="{FF2B5EF4-FFF2-40B4-BE49-F238E27FC236}">
                        <a16:creationId xmlns:a16="http://schemas.microsoft.com/office/drawing/2014/main" id="{21068A47-353A-4C35-9613-0614F577AA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791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  <w:r w:rsidRPr="00A23807">
      <w:rPr>
        <w:noProof/>
      </w:rPr>
      <w:drawing>
        <wp:inline distT="0" distB="0" distL="0" distR="0" wp14:anchorId="0CF745B2" wp14:editId="05397BEF">
          <wp:extent cx="723900" cy="600075"/>
          <wp:effectExtent l="0" t="0" r="0" b="9525"/>
          <wp:docPr id="8" name="Рисунок 7" descr="Картинки по запросу зну">
            <a:extLst xmlns:a="http://schemas.openxmlformats.org/drawingml/2006/main">
              <a:ext uri="{FF2B5EF4-FFF2-40B4-BE49-F238E27FC236}">
                <a16:creationId xmlns:a16="http://schemas.microsoft.com/office/drawing/2014/main" id="{D70BCA56-3C31-4330-A28F-9D2038D0F0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 descr="Картинки по запросу зну">
                    <a:extLst>
                      <a:ext uri="{FF2B5EF4-FFF2-40B4-BE49-F238E27FC236}">
                        <a16:creationId xmlns:a16="http://schemas.microsoft.com/office/drawing/2014/main" id="{D70BCA56-3C31-4330-A28F-9D2038D0F097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95" cy="61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9543121" wp14:editId="7DED8664">
          <wp:extent cx="1933575" cy="476250"/>
          <wp:effectExtent l="0" t="0" r="952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2B5C" w:rsidRDefault="00F42B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2A0F"/>
    <w:multiLevelType w:val="hybridMultilevel"/>
    <w:tmpl w:val="42B80A7E"/>
    <w:lvl w:ilvl="0" w:tplc="FF285E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D52664"/>
    <w:multiLevelType w:val="hybridMultilevel"/>
    <w:tmpl w:val="E5A22D94"/>
    <w:lvl w:ilvl="0" w:tplc="3F12E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126D77"/>
    <w:multiLevelType w:val="hybridMultilevel"/>
    <w:tmpl w:val="911A08D0"/>
    <w:lvl w:ilvl="0" w:tplc="64406C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806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E44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48E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C46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A1B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4EC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A3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8D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23A6"/>
    <w:multiLevelType w:val="hybridMultilevel"/>
    <w:tmpl w:val="B50AF354"/>
    <w:lvl w:ilvl="0" w:tplc="83B4F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F36AA"/>
    <w:multiLevelType w:val="multilevel"/>
    <w:tmpl w:val="9FCE0CD4"/>
    <w:lvl w:ilvl="0">
      <w:start w:val="2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4A515A53"/>
    <w:multiLevelType w:val="multilevel"/>
    <w:tmpl w:val="E4DE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A4976"/>
    <w:multiLevelType w:val="hybridMultilevel"/>
    <w:tmpl w:val="4934A1F0"/>
    <w:lvl w:ilvl="0" w:tplc="CB180D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A1"/>
    <w:rsid w:val="00054B9B"/>
    <w:rsid w:val="00254EF3"/>
    <w:rsid w:val="00294E82"/>
    <w:rsid w:val="004D158E"/>
    <w:rsid w:val="00555807"/>
    <w:rsid w:val="00580DFE"/>
    <w:rsid w:val="005A59B1"/>
    <w:rsid w:val="005C1856"/>
    <w:rsid w:val="005C7CA7"/>
    <w:rsid w:val="0071026B"/>
    <w:rsid w:val="0075293A"/>
    <w:rsid w:val="007F15D5"/>
    <w:rsid w:val="007F7FD7"/>
    <w:rsid w:val="0082586E"/>
    <w:rsid w:val="008E6B9F"/>
    <w:rsid w:val="009610A1"/>
    <w:rsid w:val="009641FD"/>
    <w:rsid w:val="009C122B"/>
    <w:rsid w:val="009F3C68"/>
    <w:rsid w:val="00A15380"/>
    <w:rsid w:val="00B01AA7"/>
    <w:rsid w:val="00C4249B"/>
    <w:rsid w:val="00DC75B2"/>
    <w:rsid w:val="00E2535B"/>
    <w:rsid w:val="00F42B5C"/>
    <w:rsid w:val="00F83333"/>
    <w:rsid w:val="00F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6F4B"/>
  <w15:chartTrackingRefBased/>
  <w15:docId w15:val="{E41A0F08-68DD-49DC-B90F-CACFD0FC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42B5C"/>
    <w:pPr>
      <w:keepNext/>
      <w:keepLines/>
      <w:widowControl w:val="0"/>
      <w:suppressAutoHyphens/>
      <w:spacing w:before="200" w:after="0" w:line="276" w:lineRule="auto"/>
      <w:jc w:val="both"/>
      <w:outlineLvl w:val="1"/>
    </w:pPr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B5C"/>
  </w:style>
  <w:style w:type="paragraph" w:styleId="a5">
    <w:name w:val="footer"/>
    <w:basedOn w:val="a"/>
    <w:link w:val="a6"/>
    <w:uiPriority w:val="99"/>
    <w:unhideWhenUsed/>
    <w:rsid w:val="00F4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B5C"/>
  </w:style>
  <w:style w:type="character" w:customStyle="1" w:styleId="20">
    <w:name w:val="Заголовок 2 Знак"/>
    <w:basedOn w:val="a0"/>
    <w:link w:val="2"/>
    <w:rsid w:val="00F42B5C"/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  <w:style w:type="paragraph" w:styleId="a7">
    <w:name w:val="List Paragraph"/>
    <w:basedOn w:val="a"/>
    <w:uiPriority w:val="34"/>
    <w:qFormat/>
    <w:rsid w:val="00FD527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B01AA7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B01AA7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Venherska Natalia</cp:lastModifiedBy>
  <cp:revision>11</cp:revision>
  <dcterms:created xsi:type="dcterms:W3CDTF">2021-02-28T14:24:00Z</dcterms:created>
  <dcterms:modified xsi:type="dcterms:W3CDTF">2021-03-31T17:26:00Z</dcterms:modified>
</cp:coreProperties>
</file>