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5C" w:rsidRPr="00FD527E" w:rsidRDefault="00F42B5C" w:rsidP="00FD5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27E">
        <w:rPr>
          <w:rFonts w:ascii="Times New Roman" w:hAnsi="Times New Roman" w:cs="Times New Roman"/>
          <w:b/>
          <w:sz w:val="28"/>
          <w:szCs w:val="28"/>
          <w:lang w:val="uk-UA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:rsidR="00F42B5C" w:rsidRPr="00FD527E" w:rsidRDefault="00F42B5C" w:rsidP="00FD527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B5C" w:rsidRPr="00FD527E" w:rsidRDefault="00F42B5C" w:rsidP="00FD5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27E">
        <w:rPr>
          <w:rFonts w:ascii="Times New Roman" w:hAnsi="Times New Roman" w:cs="Times New Roman"/>
          <w:b/>
          <w:sz w:val="28"/>
          <w:szCs w:val="28"/>
          <w:lang w:val="uk-UA"/>
        </w:rPr>
        <w:t>Поточний заліковий модуль 3</w:t>
      </w:r>
      <w:bookmarkStart w:id="0" w:name="_Hlk64110125"/>
      <w:r w:rsidRPr="00FD5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527E">
        <w:rPr>
          <w:rFonts w:ascii="Times New Roman" w:hAnsi="Times New Roman" w:cs="Times New Roman"/>
          <w:sz w:val="28"/>
          <w:szCs w:val="28"/>
          <w:lang w:val="uk-UA"/>
        </w:rPr>
        <w:t>Креативні технології туризму для сталого розвитку: теоретичні аспекти та європейський досвід</w:t>
      </w:r>
      <w:bookmarkEnd w:id="0"/>
    </w:p>
    <w:p w:rsidR="00F42B5C" w:rsidRPr="00FD527E" w:rsidRDefault="00F42B5C" w:rsidP="00FD52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42B5C" w:rsidRPr="00FD527E" w:rsidRDefault="00F42B5C" w:rsidP="00FD5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 № </w:t>
      </w:r>
      <w:r w:rsidR="00B01AA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71026B" w:rsidRDefault="00B01AA7" w:rsidP="00FD527E">
      <w:pPr>
        <w:spacing w:after="0" w:line="240" w:lineRule="auto"/>
        <w:ind w:firstLine="567"/>
        <w:jc w:val="center"/>
        <w:rPr>
          <w:lang w:val="uk-UA"/>
        </w:rPr>
      </w:pPr>
      <w:r w:rsidRPr="00B01AA7">
        <w:rPr>
          <w:rFonts w:ascii="Times New Roman" w:hAnsi="Times New Roman" w:cs="Times New Roman"/>
          <w:b/>
          <w:sz w:val="28"/>
          <w:szCs w:val="28"/>
          <w:lang w:val="uk-UA"/>
        </w:rPr>
        <w:t>Аксіологічні (ціннісні) аспекти цифрових технологій туристичного бізнесу</w:t>
      </w:r>
    </w:p>
    <w:p w:rsidR="00B01AA7" w:rsidRPr="00FD527E" w:rsidRDefault="00B01AA7" w:rsidP="00FD5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B5C" w:rsidRPr="00FD527E" w:rsidRDefault="00F42B5C" w:rsidP="00FD52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FD52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Викладач: </w:t>
      </w:r>
      <w:r w:rsidR="00FD527E" w:rsidRPr="00FD527E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Воронкова В.Г.,</w:t>
      </w:r>
      <w:r w:rsidR="00FD527E" w:rsidRPr="00FD527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="00FD527E" w:rsidRPr="00FD527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д.ф.н</w:t>
      </w:r>
      <w:proofErr w:type="spellEnd"/>
      <w:r w:rsidR="00FD527E" w:rsidRPr="00FD527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., проф. кафедри менеджменту організацій та управління проєктами Інженерного інституту ЗНУ</w:t>
      </w:r>
    </w:p>
    <w:p w:rsidR="00F42B5C" w:rsidRPr="00FD527E" w:rsidRDefault="00F42B5C" w:rsidP="00FD527E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42B5C" w:rsidRPr="00FD527E" w:rsidRDefault="00F42B5C" w:rsidP="00FD52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D52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Методичні рекомендації до самостійної роботи № </w:t>
      </w:r>
      <w:r w:rsidR="00B01A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</w:p>
    <w:p w:rsidR="00F42B5C" w:rsidRPr="00FD527E" w:rsidRDefault="00F42B5C" w:rsidP="00FD52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527E" w:rsidRPr="00FD527E" w:rsidRDefault="00F42B5C" w:rsidP="00FD527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527E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матеріали лекцій 1</w:t>
      </w:r>
      <w:r w:rsidR="00B01AA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FD52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D527E" w:rsidRPr="00FD527E" w:rsidRDefault="00FD527E" w:rsidP="00FD527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527E">
        <w:rPr>
          <w:rFonts w:ascii="Times New Roman" w:eastAsia="Calibri" w:hAnsi="Times New Roman" w:cs="Times New Roman"/>
          <w:sz w:val="28"/>
          <w:szCs w:val="28"/>
          <w:lang w:val="uk-UA"/>
        </w:rPr>
        <w:t>Виконати</w:t>
      </w:r>
      <w:r w:rsidR="00F42B5C" w:rsidRPr="00FD5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1-6. </w:t>
      </w:r>
    </w:p>
    <w:p w:rsidR="00580DFE" w:rsidRPr="00B01AA7" w:rsidRDefault="00F42B5C" w:rsidP="00FD527E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01AA7">
        <w:rPr>
          <w:rFonts w:ascii="Times New Roman" w:hAnsi="Times New Roman" w:cs="Times New Roman"/>
          <w:sz w:val="28"/>
          <w:szCs w:val="28"/>
          <w:lang w:val="uk-UA"/>
        </w:rPr>
        <w:t xml:space="preserve">Форма перевірки: </w:t>
      </w:r>
      <w:r w:rsidR="00B01AA7">
        <w:rPr>
          <w:rFonts w:ascii="Times New Roman" w:hAnsi="Times New Roman"/>
          <w:sz w:val="28"/>
          <w:szCs w:val="28"/>
          <w:lang w:val="uk-UA"/>
        </w:rPr>
        <w:t>усне опитування.</w:t>
      </w:r>
    </w:p>
    <w:p w:rsidR="0082586E" w:rsidRPr="00B01AA7" w:rsidRDefault="00FD527E" w:rsidP="00B01A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A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B01AA7" w:rsidRPr="00B01AA7" w:rsidRDefault="00B01AA7" w:rsidP="00B01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  <w:lang w:val="uk-UA"/>
        </w:rPr>
        <w:t xml:space="preserve">Аксіологічні (ціннісні) аспекти цифрових технологій туристичного бізнесу як нова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кроскультурної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комунікації туристичної  діяльності ЄС і України. Розширення культурологічних функцій цифрових технологій туристичного бізнесу. Цінності і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регулятиви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>, за допомогою яких визначається певний вид культурно-ціннісного споживання. ЄС і Україна  створюють умови пошуку креативності у процесі туристичного б</w:t>
      </w:r>
      <w:bookmarkStart w:id="1" w:name="_GoBack"/>
      <w:bookmarkEnd w:id="1"/>
      <w:r w:rsidRPr="00B01AA7">
        <w:rPr>
          <w:rFonts w:ascii="Times New Roman" w:hAnsi="Times New Roman"/>
          <w:sz w:val="28"/>
          <w:szCs w:val="28"/>
          <w:lang w:val="uk-UA"/>
        </w:rPr>
        <w:t xml:space="preserve">ізнесу. Креативний туризм як складна система комунікаційних творчих процесів виступає каталізатором міжкультурної комунікації, діалогом культур і цивілізацій. Креативний туризм як культурний конструкт сучасного суспільства виступає  стратегічним напрямом формування ціннісних орієнтацій особистості. Аксіологічні (ціннісні) аспекти цифрових технологій туристичного бізнесу дозволяють виявити найбільш суттєві характеристики туризму, сприяють взаємовпливу і взаємопроникненню культур та зростанню популярності туризму (сільського,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агротуризму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ділового, наукового тощо).  Креативний туризм як багатопланове соціальне, культурне та економічне явище охоплює всі сфери сучасного суспільства і життя особистості, слугує однією з найбільш важливих сфер досягнення добробуту країни та  її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процвітання.Туризм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є одним із феноменів крос-культурної комунікації, що являє собою складне й суперечливе явище, на яке істотно впливають економічний, політичний, соціокультурний, демографічний чинники, у тому числі базові цінності культури. </w:t>
      </w:r>
    </w:p>
    <w:p w:rsidR="00B01AA7" w:rsidRPr="00B01AA7" w:rsidRDefault="00B01AA7" w:rsidP="00B01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  <w:lang w:val="uk-UA"/>
        </w:rPr>
        <w:t xml:space="preserve">Удосконалення комунікаційних трендів  розвитку туризму як чинник розвитку Четвертої промислової революції. В основі концепції розвитку </w:t>
      </w:r>
      <w:r w:rsidRPr="00B01AA7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комунікаційних трендів туризму - пріоритет інформаційних технологій, застосування цифрової трансформації ділового та інших видів туризму, трансформація моделей туризму (зелений, сільський, присвячений подіям, науковий  тощо). Туризм як новий рушій сучасного суспільства, в основі якого використання спеціального програмного забезпечення, інноваційного просування туристичного продукту через  Інтернет. Креативна інфраструктура як невід'ємна частина виробництва туристичних послуг і  як органічна єдність послуг, інфраструктури, проривних технологій. Концепція удосконалення комунікаційних трендів туризму включає: 1)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туризму ; 2) розвиток креативного смарт-туризму, що є різновидом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туризму; 3) електронний туризм (E-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tourism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); 4)туризм як індустрія цифрового суспільства і розвитку креативних технологій, в основі яких використання Інтернету речей. Креативний смарт-туризм як  новий вид туризму, який приваблює туристів і місцевих жителів для реалізації туристичних потреб на принципах співтворчості. В основі креативності смарт-туризму – здатність створювати знання на основі інформації, яка сприяє самореалізації і саморозвитку особистості. Пріоритетні напрями аксіологічних вимірів туризму - розвиток інновацій у туризмі як ключовий ресурс туристичної діяльності; розвиток цінностей особистості  - свобода, творчість, самоактуалізація, культурний і освітній розвиток, інформаційна культура, спілкування. Вплив Інтернет-технологій та інтернет-культури на розвиток туризму як культурно-комунікаційного процесу взаємовпливу народів. Туризм як багатоваріантність можливостей вільного вибору особистості та пізнання буття, менталітету, культури, історії та способу життя народів,  що вимагає адаптації людини до умов іншого буття і менталітету. Креативна орієнтація туризму виступає як рушійна сила та процес конкурентоспроможності країн ЄС і України. </w:t>
      </w:r>
    </w:p>
    <w:p w:rsidR="00B01AA7" w:rsidRPr="00B01AA7" w:rsidRDefault="00B01AA7" w:rsidP="00B01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AA7">
        <w:rPr>
          <w:rFonts w:ascii="Times New Roman" w:hAnsi="Times New Roman"/>
          <w:b/>
          <w:sz w:val="28"/>
          <w:szCs w:val="28"/>
          <w:lang w:val="uk-UA"/>
        </w:rPr>
        <w:t>Завдання 1. Дискусія, присвячена обговоренню щодо в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пливу  </w:t>
      </w:r>
      <w:r w:rsidRPr="00B01AA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01AA7" w:rsidRPr="00B01AA7" w:rsidRDefault="00B01AA7" w:rsidP="00B01AA7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  <w:lang w:val="uk-UA"/>
        </w:rPr>
        <w:t xml:space="preserve">Підготовчий етап: саморефлексія  понять «креативний туризм» «сталий розвиток», «Інтернет-культура»,  «цифрова культура»». </w:t>
      </w:r>
    </w:p>
    <w:p w:rsidR="00B01AA7" w:rsidRPr="00B01AA7" w:rsidRDefault="00B01AA7" w:rsidP="00B01AA7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</w:rPr>
        <w:t xml:space="preserve">1.1 </w:t>
      </w:r>
      <w:proofErr w:type="spellStart"/>
      <w:r w:rsidRPr="00B01AA7">
        <w:rPr>
          <w:rFonts w:ascii="Times New Roman" w:hAnsi="Times New Roman"/>
          <w:sz w:val="28"/>
          <w:szCs w:val="28"/>
        </w:rPr>
        <w:t>Викладач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</w:rPr>
        <w:t>запрошує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</w:rPr>
        <w:t>сформулювати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AA7">
        <w:rPr>
          <w:rFonts w:ascii="Times New Roman" w:hAnsi="Times New Roman"/>
          <w:sz w:val="28"/>
          <w:szCs w:val="28"/>
        </w:rPr>
        <w:t>власне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1AA7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B01AA7">
        <w:rPr>
          <w:rFonts w:ascii="Times New Roman" w:hAnsi="Times New Roman"/>
          <w:sz w:val="28"/>
          <w:szCs w:val="28"/>
        </w:rPr>
        <w:t xml:space="preserve"> 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 розширення</w:t>
      </w:r>
      <w:proofErr w:type="gramEnd"/>
      <w:r w:rsidRPr="00B01AA7">
        <w:rPr>
          <w:rFonts w:ascii="Times New Roman" w:hAnsi="Times New Roman"/>
          <w:sz w:val="28"/>
          <w:szCs w:val="28"/>
          <w:lang w:val="uk-UA"/>
        </w:rPr>
        <w:t xml:space="preserve"> культурологічних функцій цифрових технологій туристичного бізнесу</w:t>
      </w:r>
      <w:r w:rsidRPr="00B01AA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01AA7" w:rsidRPr="00B01AA7" w:rsidRDefault="00B01AA7" w:rsidP="00B01AA7">
      <w:pPr>
        <w:pStyle w:val="a7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1AA7">
        <w:rPr>
          <w:rFonts w:ascii="Times New Roman" w:hAnsi="Times New Roman"/>
          <w:sz w:val="28"/>
          <w:szCs w:val="28"/>
          <w:lang w:val="uk-UA"/>
        </w:rPr>
        <w:t>1.2 Викладач запрошує студентів самостійно дати авторські визначення</w:t>
      </w:r>
      <w:r w:rsidRPr="00B01AA7">
        <w:rPr>
          <w:rFonts w:ascii="Times New Roman" w:hAnsi="Times New Roman"/>
          <w:sz w:val="28"/>
          <w:szCs w:val="28"/>
          <w:lang w:val="uk-UA" w:eastAsia="uk-UA"/>
        </w:rPr>
        <w:t xml:space="preserve"> комунікаційних трендів  розвитку туризму як чинник розвитку Четвертої промислової революції. </w:t>
      </w:r>
    </w:p>
    <w:p w:rsidR="00B01AA7" w:rsidRPr="00B01AA7" w:rsidRDefault="00B01AA7" w:rsidP="00B01AA7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 Студенти порівнюють як відбувається </w:t>
      </w:r>
      <w:r w:rsidRPr="00B01A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1AA7">
        <w:rPr>
          <w:rFonts w:ascii="Times New Roman" w:hAnsi="Times New Roman"/>
          <w:sz w:val="28"/>
          <w:szCs w:val="28"/>
          <w:lang w:val="uk-UA"/>
        </w:rPr>
        <w:t>впливу аксіологічних (ціннісних) аспектів цифрових технологій туристичного бізнесу на особистість  в умовах туристичної  діяльності ЄС і України.</w:t>
      </w:r>
    </w:p>
    <w:p w:rsidR="00B01AA7" w:rsidRPr="00B01AA7" w:rsidRDefault="00B01AA7" w:rsidP="00B01AA7">
      <w:pPr>
        <w:spacing w:after="0" w:line="240" w:lineRule="auto"/>
        <w:ind w:right="57"/>
        <w:jc w:val="both"/>
        <w:rPr>
          <w:b/>
          <w:bCs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1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AA7">
        <w:rPr>
          <w:rFonts w:ascii="Times New Roman" w:hAnsi="Times New Roman"/>
          <w:b/>
          <w:sz w:val="28"/>
          <w:szCs w:val="28"/>
          <w:lang w:val="uk-UA"/>
        </w:rPr>
        <w:t xml:space="preserve">Завдання 2. Викладач пропонує студентам на основі роботи </w:t>
      </w:r>
      <w:r w:rsidRPr="00B01AA7">
        <w:rPr>
          <w:rFonts w:ascii="Times New Roman" w:hAnsi="Times New Roman"/>
          <w:i/>
          <w:sz w:val="28"/>
          <w:szCs w:val="28"/>
          <w:lang w:val="uk-UA"/>
        </w:rPr>
        <w:t xml:space="preserve">Клауса Шваба «Четверта промислова революція, Формуючи четверту промислову революцію» (2019) 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проаналізувати та зробити власний висновок : «Четверта промислова революція стане джерелом величезних переваг, так і витоком великих ризиків. Особливу стурбованість викликає загострення нерівності. Ризики, пов’язані зі зростанням нерівності, складно виміряти, оскільки переважна кількість людей є і споживачами, і виробниками. Отже, інновації та революційні зміни і позитивно, і негативно відобразяться на стандартах нашого життя і добробуту. Для того, щоб виокремити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мегатренди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й окреслити розлогу панораму технологічних рушіїв Четвертої промислової революції, слід їх розділити на  три блоки: фізичний, цифровий і біологічний. Усі вони тісно  взаємопов’язані й живляться одне від одного»</w:t>
      </w:r>
      <w:r w:rsidRPr="00B01AA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AA7" w:rsidRPr="00B01AA7" w:rsidRDefault="00B01AA7" w:rsidP="00B01AA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b/>
          <w:sz w:val="28"/>
          <w:szCs w:val="28"/>
          <w:lang w:val="uk-UA"/>
        </w:rPr>
        <w:t>Завдання 3. Викладач пропонує студентам розширити сферу міркувань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: «Історія Європи –  це передусім історія того, як економічна політика була здатна подолати  значні бар’єри на шляху до багатства, створені географією, кліматом, а також культурою. Скажімо, мандрівники, які 200 років тому подорожували в такі далекі краї, як Норвегія, не передбачали, що та країна зможе коли-небудь розвинутися далі», а головне у цьому було «прагнення дорівнятися до інших або перевершити їх у будь-якому досягненні чи рисі; також бажання чи амбіція бути нарівні або стати вище. Прагнення дорівнятись – це, власне, позитивне і активне зусилля, яке слід протиставити заздрощам і ревнощам, що включає стратегію порівняльних переваг та рух уперед» </w:t>
      </w:r>
      <w:r w:rsidRPr="00B01AA7">
        <w:rPr>
          <w:rFonts w:ascii="Times New Roman" w:hAnsi="Times New Roman"/>
          <w:i/>
          <w:sz w:val="28"/>
          <w:szCs w:val="28"/>
          <w:lang w:val="uk-UA"/>
        </w:rPr>
        <w:t xml:space="preserve">(Ерік С. </w:t>
      </w:r>
      <w:proofErr w:type="spellStart"/>
      <w:r w:rsidRPr="00B01AA7">
        <w:rPr>
          <w:rFonts w:ascii="Times New Roman" w:hAnsi="Times New Roman"/>
          <w:i/>
          <w:sz w:val="28"/>
          <w:szCs w:val="28"/>
          <w:lang w:val="uk-UA"/>
        </w:rPr>
        <w:t>Райнерт</w:t>
      </w:r>
      <w:proofErr w:type="spellEnd"/>
      <w:r w:rsidRPr="00B01AA7">
        <w:rPr>
          <w:rFonts w:ascii="Times New Roman" w:hAnsi="Times New Roman"/>
          <w:i/>
          <w:sz w:val="28"/>
          <w:szCs w:val="28"/>
          <w:lang w:val="uk-UA"/>
        </w:rPr>
        <w:t>. Як багаті країни збагатіли…. і чому бідні країни лишаються бідними, 2018).</w:t>
      </w: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b/>
          <w:sz w:val="28"/>
          <w:szCs w:val="28"/>
          <w:lang w:val="uk-UA"/>
        </w:rPr>
        <w:t xml:space="preserve">Завдання 4. Викладач пропонує студентам прокоментувати Цілі сталого розвитку. 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Виходячи зі стану системної кризи, у 2015 році було сформовано «Порядок денний 2030», основну частину якого склали 17 цілей сталого розвитку (ЦСР), а також 169 цілей для визначення ЦСПР.  До ЦСР відносяться: 1-11 цілі – соціально-економічні; 12 – відповідає за стале споживання і виробництво, 13-15 – стосуються захисту довкілля, 16 –  миру, справедливості та створення інституцій, 17 – партнерства на шляху досягнення цілей. Перехід до сталості також стосується  невідкладних заходів для боротьби зі змінами клімату (Ціль 13), важливість збереження та поміркованого використання океанів, морів, морських ресурсів в межах сталого розвитку (Ціль 14); захист, відтворення та сприяння сталому використанню екосистем суші, стале управління лісами, боротьби за спустошенням довкілля, зупинення деградації земель та їх відновлення, а також зупинення втрати біологічного різноманіття (Ціль 15). Вочевидь, для </w:t>
      </w:r>
      <w:r w:rsidRPr="00B01AA7">
        <w:rPr>
          <w:rFonts w:ascii="Times New Roman" w:hAnsi="Times New Roman"/>
          <w:sz w:val="28"/>
          <w:szCs w:val="28"/>
          <w:lang w:val="uk-UA"/>
        </w:rPr>
        <w:lastRenderedPageBreak/>
        <w:t>країн, що розвиваються. пріоритетними є досягнення соціально-економічних Цілей сталого розвитку, наприклад подолання бідності (Ціль 1), покращення продовольчої безпеки (Ціль 2), охорони здоров’я (Ціль 3), освіти (Ціль 4) та працевлаштування для всіх  (Ціль 8). Компроміс між соціально-економічними цілями та екологічними є справді необхідним для переходу до суспільства сталого розвитку.</w:t>
      </w: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1AA7" w:rsidRPr="00B01AA7" w:rsidRDefault="00B01AA7" w:rsidP="00B01AA7">
      <w:pPr>
        <w:pStyle w:val="a8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AA7">
        <w:rPr>
          <w:rFonts w:ascii="Times New Roman" w:hAnsi="Times New Roman"/>
          <w:b/>
          <w:sz w:val="28"/>
          <w:szCs w:val="28"/>
          <w:lang w:val="uk-UA"/>
        </w:rPr>
        <w:t xml:space="preserve">Завдання 5.  Викладач пропонує студентам зробити власні висновки відносно розвитку нових цінностей проривних технологій. 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Технології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біткойна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криптовалют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, що змінюють світ, дорівнюють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революції для розв’язання нагальних викликів сучасності, тому необхідно усвідомити їх могутність і потенціал.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–  це новітня технологічна хвиля, що має розкрити справжній потенціал цифрової економіки.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-революція – це сьогоденний ландшафт, що показує нам шлях до глобальної фінансової системи і глобального управління, що змінює світ.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-революція готує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для хвилі технологічних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новаторств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, які тільки набирають силу, і мають здійснити революцію у фінансах і глобальному управлінні та мають намір здійснити глобальну економіку. Для цього керівництво повинно створити свою стратегію електронного врядування навколо таких понять, як децентралізація, взаємопов’язаність, відкритість та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кібербезпека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. Уряд має підтримувати інфраструктуру відповідно до вимог завтрашнього дня, щоб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підлаштуватись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під цілком нову модель. Усі громадяни країни мають мати доступ до он–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лайнових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послуг та інформації, щоб використовувати свою цифрову ідентичність, вести бізнес та оновлювати чи змінювати дані про себе. В країні слід також запровадити інфраструктуру підпису без ключа, що чудово інтегрується з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блокчейновою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технологією.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трансформує не тільки природу компаній, а й їх фінансування та управління ними, у деяких випадках алгоритми повністю змінюють управління. </w:t>
      </w:r>
      <w:proofErr w:type="spellStart"/>
      <w:r w:rsidRPr="00B01AA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B01AA7">
        <w:rPr>
          <w:rFonts w:ascii="Times New Roman" w:hAnsi="Times New Roman"/>
          <w:sz w:val="28"/>
          <w:szCs w:val="28"/>
          <w:lang w:val="uk-UA"/>
        </w:rPr>
        <w:t xml:space="preserve"> змінює фундамент і структуру фірми, повністю трансформуючи моделі управління фірми і ролі керівників.</w:t>
      </w:r>
    </w:p>
    <w:p w:rsidR="00B01AA7" w:rsidRPr="00B01AA7" w:rsidRDefault="00B01AA7" w:rsidP="00B01A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1AA7" w:rsidRPr="00B01AA7" w:rsidRDefault="00B01AA7" w:rsidP="00B01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AA7">
        <w:rPr>
          <w:rFonts w:ascii="Times New Roman" w:hAnsi="Times New Roman"/>
          <w:b/>
          <w:sz w:val="28"/>
          <w:szCs w:val="28"/>
          <w:lang w:val="uk-UA"/>
        </w:rPr>
        <w:t>Завдання 6</w:t>
      </w:r>
      <w:r w:rsidRPr="00B01AA7">
        <w:rPr>
          <w:rFonts w:ascii="Times New Roman" w:hAnsi="Times New Roman"/>
          <w:sz w:val="28"/>
          <w:szCs w:val="28"/>
          <w:lang w:val="uk-UA"/>
        </w:rPr>
        <w:t xml:space="preserve">.  Прокоментувати цінності мережевих обчислень. Хмарні обчислення підживлюють закон зростаючої ефективності, який ще називають мережевим ефектом. Автоматизація створює мільйони робочих місць в абсолютно нових галузях. З одного боку, прогрес у технологічних галузях збільшує прибутки, а з іншого – завдає удар по заробітній платі робітників, адже робітників замінюють машини. Оцифрування все більшої кількості інформації, товарів та послуг, стрімкий розвиток телекомунікацій та логістики, а також збільшення ролі мереж ведуть до того, що на перший план виступає глобальне управління всіма цими процесами. Глобальне управління в умовах Четвертої промислової революції буде сприяти упровадженню нових технологій для прискореного розвитку, нової освіти, яка дає студентам </w:t>
      </w:r>
      <w:r w:rsidRPr="00B01AA7">
        <w:rPr>
          <w:rFonts w:ascii="Times New Roman" w:hAnsi="Times New Roman"/>
          <w:sz w:val="28"/>
          <w:szCs w:val="28"/>
          <w:lang w:val="uk-UA"/>
        </w:rPr>
        <w:lastRenderedPageBreak/>
        <w:t>найостанніші знання і навички, необхідні в сучасних умовах, податкову систему, яка має стимулювати розвиток інноваційних підприємств і створення нових робочих місць.</w:t>
      </w:r>
    </w:p>
    <w:p w:rsidR="0082586E" w:rsidRPr="0071026B" w:rsidRDefault="0082586E" w:rsidP="00B01AA7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586E" w:rsidRPr="007102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5D5" w:rsidRDefault="007F15D5" w:rsidP="00F42B5C">
      <w:pPr>
        <w:spacing w:after="0" w:line="240" w:lineRule="auto"/>
      </w:pPr>
      <w:r>
        <w:separator/>
      </w:r>
    </w:p>
  </w:endnote>
  <w:endnote w:type="continuationSeparator" w:id="0">
    <w:p w:rsidR="007F15D5" w:rsidRDefault="007F15D5" w:rsidP="00F4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5D5" w:rsidRDefault="007F15D5" w:rsidP="00F42B5C">
      <w:pPr>
        <w:spacing w:after="0" w:line="240" w:lineRule="auto"/>
      </w:pPr>
      <w:r>
        <w:separator/>
      </w:r>
    </w:p>
  </w:footnote>
  <w:footnote w:type="continuationSeparator" w:id="0">
    <w:p w:rsidR="007F15D5" w:rsidRDefault="007F15D5" w:rsidP="00F4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5C" w:rsidRPr="001C5351" w:rsidRDefault="00F42B5C" w:rsidP="00F42B5C">
    <w:pPr>
      <w:pStyle w:val="a3"/>
      <w:rPr>
        <w:noProof/>
      </w:rPr>
    </w:pPr>
    <w:r w:rsidRPr="000F05B6">
      <w:rPr>
        <w:noProof/>
      </w:rPr>
      <w:drawing>
        <wp:inline distT="0" distB="0" distL="0" distR="0" wp14:anchorId="31E6B26C" wp14:editId="7A5794E0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A23807">
      <w:rPr>
        <w:noProof/>
      </w:rPr>
      <w:drawing>
        <wp:inline distT="0" distB="0" distL="0" distR="0" wp14:anchorId="0CF745B2" wp14:editId="05397BEF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9543121" wp14:editId="7DED8664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B5C" w:rsidRDefault="00F42B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52664"/>
    <w:multiLevelType w:val="hybridMultilevel"/>
    <w:tmpl w:val="E5A22D94"/>
    <w:lvl w:ilvl="0" w:tplc="3F12E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26D77"/>
    <w:multiLevelType w:val="hybridMultilevel"/>
    <w:tmpl w:val="911A08D0"/>
    <w:lvl w:ilvl="0" w:tplc="644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0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E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4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1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E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3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D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3A6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6AA"/>
    <w:multiLevelType w:val="multilevel"/>
    <w:tmpl w:val="9FCE0CD4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4A515A53"/>
    <w:multiLevelType w:val="multilevel"/>
    <w:tmpl w:val="E4DE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A4976"/>
    <w:multiLevelType w:val="hybridMultilevel"/>
    <w:tmpl w:val="4934A1F0"/>
    <w:lvl w:ilvl="0" w:tplc="CB180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A1"/>
    <w:rsid w:val="00054B9B"/>
    <w:rsid w:val="00254EF3"/>
    <w:rsid w:val="00294E82"/>
    <w:rsid w:val="004D158E"/>
    <w:rsid w:val="00555807"/>
    <w:rsid w:val="00580DFE"/>
    <w:rsid w:val="005A59B1"/>
    <w:rsid w:val="005C1856"/>
    <w:rsid w:val="005C7CA7"/>
    <w:rsid w:val="0071026B"/>
    <w:rsid w:val="0075293A"/>
    <w:rsid w:val="007F15D5"/>
    <w:rsid w:val="007F7FD7"/>
    <w:rsid w:val="0082586E"/>
    <w:rsid w:val="008E6B9F"/>
    <w:rsid w:val="009610A1"/>
    <w:rsid w:val="009641FD"/>
    <w:rsid w:val="009C122B"/>
    <w:rsid w:val="009F3C68"/>
    <w:rsid w:val="00A15380"/>
    <w:rsid w:val="00B01AA7"/>
    <w:rsid w:val="00C4249B"/>
    <w:rsid w:val="00DC75B2"/>
    <w:rsid w:val="00E2535B"/>
    <w:rsid w:val="00F42B5C"/>
    <w:rsid w:val="00F83333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F4B"/>
  <w15:chartTrackingRefBased/>
  <w15:docId w15:val="{E41A0F08-68DD-49DC-B90F-CACFD0F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2B5C"/>
    <w:pPr>
      <w:keepNext/>
      <w:keepLines/>
      <w:widowControl w:val="0"/>
      <w:suppressAutoHyphens/>
      <w:spacing w:before="200" w:after="0" w:line="276" w:lineRule="auto"/>
      <w:jc w:val="both"/>
      <w:outlineLvl w:val="1"/>
    </w:pPr>
    <w:rPr>
      <w:rFonts w:ascii="Cambria" w:eastAsia="Times New Roman" w:hAnsi="Cambria" w:cs="Mangal"/>
      <w:b/>
      <w:bCs/>
      <w:color w:val="4F81BD"/>
      <w:kern w:val="1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B5C"/>
  </w:style>
  <w:style w:type="paragraph" w:styleId="a5">
    <w:name w:val="footer"/>
    <w:basedOn w:val="a"/>
    <w:link w:val="a6"/>
    <w:uiPriority w:val="99"/>
    <w:unhideWhenUsed/>
    <w:rsid w:val="00F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B5C"/>
  </w:style>
  <w:style w:type="character" w:customStyle="1" w:styleId="20">
    <w:name w:val="Заголовок 2 Знак"/>
    <w:basedOn w:val="a0"/>
    <w:link w:val="2"/>
    <w:rsid w:val="00F42B5C"/>
    <w:rPr>
      <w:rFonts w:ascii="Cambria" w:eastAsia="Times New Roman" w:hAnsi="Cambria" w:cs="Mangal"/>
      <w:b/>
      <w:bCs/>
      <w:color w:val="4F81BD"/>
      <w:kern w:val="1"/>
      <w:sz w:val="26"/>
      <w:szCs w:val="23"/>
      <w:lang w:eastAsia="zh-CN" w:bidi="hi-IN"/>
    </w:rPr>
  </w:style>
  <w:style w:type="paragraph" w:styleId="a7">
    <w:name w:val="List Paragraph"/>
    <w:basedOn w:val="a"/>
    <w:uiPriority w:val="34"/>
    <w:qFormat/>
    <w:rsid w:val="00FD52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01AA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B01AA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Venherska Natalia</cp:lastModifiedBy>
  <cp:revision>11</cp:revision>
  <dcterms:created xsi:type="dcterms:W3CDTF">2021-02-28T14:24:00Z</dcterms:created>
  <dcterms:modified xsi:type="dcterms:W3CDTF">2021-03-31T17:26:00Z</dcterms:modified>
</cp:coreProperties>
</file>