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9D" w:rsidRPr="00F80443" w:rsidRDefault="0035099D" w:rsidP="00F80443">
      <w:pPr>
        <w:shd w:val="clear" w:color="auto" w:fill="D99594" w:themeFill="accent2" w:themeFillTint="99"/>
        <w:spacing w:before="120" w:after="12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Лекція </w:t>
      </w:r>
      <w:r w:rsidR="001B315F" w:rsidRPr="00F80443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5</w:t>
      </w:r>
    </w:p>
    <w:p w:rsidR="00F80443" w:rsidRPr="00F80443" w:rsidRDefault="00F80443" w:rsidP="00F80443">
      <w:pPr>
        <w:pStyle w:val="1"/>
        <w:shd w:val="clear" w:color="auto" w:fill="D99594" w:themeFill="accent2" w:themeFillTint="99"/>
        <w:spacing w:before="120" w:after="12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  <w:bookmarkStart w:id="0" w:name="_Toc524312377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ЗАГАЛЬНІ УЯВЛЕННЯ ПРО ПРОХОДЖЕННЯ ОРГАНІЧНИХ РЕАКЦІЙ</w:t>
      </w:r>
      <w:bookmarkEnd w:id="0"/>
    </w:p>
    <w:p w:rsidR="00F80443" w:rsidRPr="00F80443" w:rsidRDefault="00F80443" w:rsidP="00F80443">
      <w:pPr>
        <w:pStyle w:val="2"/>
        <w:spacing w:before="120" w:after="12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uk-UA"/>
        </w:rPr>
      </w:pPr>
      <w:r w:rsidRPr="00F80443">
        <w:rPr>
          <w:rFonts w:ascii="Arial" w:hAnsi="Arial" w:cs="Arial"/>
          <w:b w:val="0"/>
          <w:color w:val="000000" w:themeColor="text1"/>
          <w:sz w:val="20"/>
          <w:szCs w:val="20"/>
          <w:lang w:val="uk-UA"/>
        </w:rPr>
        <w:t>1. Класифікація органічних реакцій</w:t>
      </w:r>
    </w:p>
    <w:p w:rsidR="00F80443" w:rsidRPr="00F80443" w:rsidRDefault="00F80443" w:rsidP="00F80443">
      <w:pPr>
        <w:pStyle w:val="3"/>
        <w:spacing w:before="120" w:after="120"/>
        <w:ind w:left="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F80443">
        <w:rPr>
          <w:rFonts w:ascii="Arial" w:hAnsi="Arial" w:cs="Arial"/>
          <w:b w:val="0"/>
          <w:color w:val="000000" w:themeColor="text1"/>
          <w:sz w:val="20"/>
          <w:szCs w:val="20"/>
        </w:rPr>
        <w:t>1.1. Класифікація по способу розриву або утворення хімічного зв’язку</w:t>
      </w:r>
    </w:p>
    <w:p w:rsidR="00F80443" w:rsidRPr="00F80443" w:rsidRDefault="00F80443" w:rsidP="00F80443">
      <w:pPr>
        <w:pStyle w:val="3"/>
        <w:spacing w:before="120" w:after="120"/>
        <w:ind w:left="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F80443">
        <w:rPr>
          <w:rFonts w:ascii="Arial" w:hAnsi="Arial" w:cs="Arial"/>
          <w:b w:val="0"/>
          <w:color w:val="000000" w:themeColor="text1"/>
          <w:sz w:val="20"/>
          <w:szCs w:val="20"/>
        </w:rPr>
        <w:t>1.2. Класифікація по напрямку реакції</w:t>
      </w:r>
    </w:p>
    <w:p w:rsidR="00F80443" w:rsidRPr="00F80443" w:rsidRDefault="00F80443" w:rsidP="00F80443">
      <w:pPr>
        <w:pStyle w:val="3"/>
        <w:spacing w:before="120" w:after="120"/>
        <w:ind w:left="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F80443">
        <w:rPr>
          <w:rFonts w:ascii="Arial" w:hAnsi="Arial" w:cs="Arial"/>
          <w:b w:val="0"/>
          <w:color w:val="000000" w:themeColor="text1"/>
          <w:sz w:val="20"/>
          <w:szCs w:val="20"/>
        </w:rPr>
        <w:t>1.3. Класифікація по реагуючим частинкам</w:t>
      </w:r>
    </w:p>
    <w:p w:rsidR="00F80443" w:rsidRPr="00F80443" w:rsidRDefault="00F80443" w:rsidP="00F80443">
      <w:pPr>
        <w:pStyle w:val="3"/>
        <w:spacing w:before="120" w:after="120"/>
        <w:ind w:left="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F80443">
        <w:rPr>
          <w:rFonts w:ascii="Arial" w:hAnsi="Arial" w:cs="Arial"/>
          <w:b w:val="0"/>
          <w:color w:val="000000" w:themeColor="text1"/>
          <w:sz w:val="20"/>
          <w:szCs w:val="20"/>
        </w:rPr>
        <w:t>1.4. Класифікація по стадії, яка визначає швидкість реакції</w:t>
      </w:r>
    </w:p>
    <w:p w:rsidR="00F80443" w:rsidRPr="00F80443" w:rsidRDefault="00F80443" w:rsidP="00F80443">
      <w:pPr>
        <w:pStyle w:val="3"/>
        <w:spacing w:before="120" w:after="120"/>
        <w:ind w:left="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F80443">
        <w:rPr>
          <w:rFonts w:ascii="Arial" w:hAnsi="Arial" w:cs="Arial"/>
          <w:b w:val="0"/>
          <w:color w:val="000000" w:themeColor="text1"/>
          <w:sz w:val="20"/>
          <w:szCs w:val="20"/>
        </w:rPr>
        <w:t>1.5. Комбінована класифікація реакцій органічних речовин</w:t>
      </w:r>
    </w:p>
    <w:p w:rsidR="00F80443" w:rsidRPr="00F80443" w:rsidRDefault="00F80443" w:rsidP="00F80443">
      <w:pPr>
        <w:pStyle w:val="2"/>
        <w:spacing w:before="120" w:after="12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uk-UA"/>
        </w:rPr>
      </w:pPr>
      <w:r w:rsidRPr="00F80443">
        <w:rPr>
          <w:rFonts w:ascii="Arial" w:hAnsi="Arial" w:cs="Arial"/>
          <w:b w:val="0"/>
          <w:color w:val="000000" w:themeColor="text1"/>
          <w:sz w:val="20"/>
          <w:szCs w:val="20"/>
          <w:lang w:val="uk-UA"/>
        </w:rPr>
        <w:t>2. Фактори, що впливають на проходження реакцій</w:t>
      </w:r>
    </w:p>
    <w:p w:rsidR="00F80443" w:rsidRPr="00F80443" w:rsidRDefault="00F80443" w:rsidP="00F80443">
      <w:pPr>
        <w:pStyle w:val="1"/>
        <w:spacing w:before="120" w:after="12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uk-UA"/>
        </w:rPr>
      </w:pPr>
      <w:r w:rsidRPr="00F80443">
        <w:rPr>
          <w:rFonts w:ascii="Arial" w:hAnsi="Arial" w:cs="Arial"/>
          <w:b w:val="0"/>
          <w:color w:val="000000" w:themeColor="text1"/>
          <w:sz w:val="20"/>
          <w:szCs w:val="20"/>
          <w:lang w:val="uk-UA"/>
        </w:rPr>
        <w:t>3. Фактори, що впливають на стійкість перехідного стану чи проміжної частинки</w:t>
      </w:r>
    </w:p>
    <w:p w:rsidR="00EF2833" w:rsidRPr="00EF2833" w:rsidRDefault="00EF2833" w:rsidP="00EF2833">
      <w:pPr>
        <w:pStyle w:val="2"/>
        <w:spacing w:before="120" w:after="12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uk-UA"/>
        </w:rPr>
      </w:pPr>
      <w:r w:rsidRPr="00EF2833">
        <w:rPr>
          <w:rFonts w:ascii="Arial" w:hAnsi="Arial" w:cs="Arial"/>
          <w:b w:val="0"/>
          <w:color w:val="000000" w:themeColor="text1"/>
          <w:sz w:val="20"/>
          <w:szCs w:val="20"/>
          <w:lang w:val="uk-UA"/>
        </w:rPr>
        <w:t>4. Кислотно-основні властивості деяких органічних сполук</w:t>
      </w:r>
    </w:p>
    <w:p w:rsidR="00F80443" w:rsidRPr="00F80443" w:rsidRDefault="00F80443" w:rsidP="00F80443">
      <w:pPr>
        <w:rPr>
          <w:rFonts w:ascii="Arial" w:hAnsi="Arial" w:cs="Arial"/>
          <w:lang w:val="uk-UA"/>
        </w:rPr>
      </w:pPr>
    </w:p>
    <w:p w:rsidR="00F80443" w:rsidRPr="00F80443" w:rsidRDefault="00F80443" w:rsidP="00F80443">
      <w:pPr>
        <w:pStyle w:val="2"/>
        <w:shd w:val="clear" w:color="auto" w:fill="E5B8B7" w:themeFill="accent2" w:themeFillTint="66"/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bookmarkStart w:id="1" w:name="_Toc524312378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1. Класифікація органічних реакцій</w:t>
      </w:r>
      <w:bookmarkEnd w:id="1"/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Органічні реакції можна класифікувати різним чином: по напрямку реакції, по характеру зміни зв’язків або по кількості молекул, що приймають участь в стадії, яка визначає швидкість реакції.</w:t>
      </w:r>
    </w:p>
    <w:p w:rsidR="00F80443" w:rsidRPr="00F80443" w:rsidRDefault="00F80443" w:rsidP="00F80443">
      <w:pPr>
        <w:pStyle w:val="3"/>
        <w:shd w:val="clear" w:color="auto" w:fill="F2DBDB" w:themeFill="accent2" w:themeFillTint="33"/>
        <w:spacing w:before="120" w:after="120"/>
        <w:ind w:left="0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2" w:name="_Toc524312379"/>
      <w:r w:rsidRPr="00F80443">
        <w:rPr>
          <w:rFonts w:ascii="Arial" w:hAnsi="Arial" w:cs="Arial"/>
          <w:b w:val="0"/>
          <w:color w:val="000000" w:themeColor="text1"/>
          <w:sz w:val="24"/>
          <w:szCs w:val="24"/>
        </w:rPr>
        <w:t>1.1. Класифікація по способу розриву або утворення хімічного зв’язку</w:t>
      </w:r>
      <w:bookmarkEnd w:id="2"/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Хімічна реакція – це розрив одних хімічних зв’язків і утворення нових зв’язків.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По способу розриву та утворення хімічного зв’язку реакції підрозділяють на: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а) </w:t>
      </w:r>
      <w:proofErr w:type="spellStart"/>
      <w:r w:rsidRPr="00F80443">
        <w:rPr>
          <w:rFonts w:ascii="Arial" w:hAnsi="Arial" w:cs="Arial"/>
          <w:i/>
          <w:color w:val="000000" w:themeColor="text1"/>
          <w:sz w:val="24"/>
          <w:szCs w:val="24"/>
          <w:lang w:val="uk-UA"/>
        </w:rPr>
        <w:t>гомолітичні</w:t>
      </w:r>
      <w:proofErr w:type="spellEnd"/>
      <w:r w:rsidRPr="00F80443">
        <w:rPr>
          <w:rFonts w:ascii="Arial" w:hAnsi="Arial" w:cs="Arial"/>
          <w:i/>
          <w:color w:val="000000" w:themeColor="text1"/>
          <w:sz w:val="24"/>
          <w:szCs w:val="24"/>
          <w:lang w:val="uk-UA"/>
        </w:rPr>
        <w:t xml:space="preserve"> (</w:t>
      </w:r>
      <w:proofErr w:type="spellStart"/>
      <w:r w:rsidRPr="00F80443">
        <w:rPr>
          <w:rFonts w:ascii="Arial" w:hAnsi="Arial" w:cs="Arial"/>
          <w:i/>
          <w:color w:val="000000" w:themeColor="text1"/>
          <w:sz w:val="24"/>
          <w:szCs w:val="24"/>
          <w:lang w:val="uk-UA"/>
        </w:rPr>
        <w:t>вільнорадикальний</w:t>
      </w:r>
      <w:proofErr w:type="spellEnd"/>
      <w:r w:rsidRPr="00F80443">
        <w:rPr>
          <w:rFonts w:ascii="Arial" w:hAnsi="Arial" w:cs="Arial"/>
          <w:i/>
          <w:color w:val="000000" w:themeColor="text1"/>
          <w:sz w:val="24"/>
          <w:szCs w:val="24"/>
          <w:lang w:val="uk-UA"/>
        </w:rPr>
        <w:t xml:space="preserve"> механізм):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52.75pt;margin-top:.9pt;width:95.8pt;height:18.6pt;z-index:251659264">
            <v:imagedata r:id="rId8" o:title=""/>
          </v:shape>
          <o:OLEObject Type="Embed" ProgID="ChemDraw.Document.6.0" ShapeID="_x0000_s1032" DrawAspect="Content" ObjectID="_1679854292" r:id="rId9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33" type="#_x0000_t75" style="position:absolute;left:0;text-align:left;margin-left:156.3pt;margin-top:14.55pt;width:96.75pt;height:22.4pt;z-index:251660288">
            <v:imagedata r:id="rId10" o:title=""/>
          </v:shape>
          <o:OLEObject Type="Embed" ProgID="ChemDraw.Document.6.0" ShapeID="_x0000_s1033" DrawAspect="Content" ObjectID="_1679854293" r:id="rId11"/>
        </w:pic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б) </w:t>
      </w:r>
      <w:proofErr w:type="spellStart"/>
      <w:r w:rsidRPr="00F80443">
        <w:rPr>
          <w:rFonts w:ascii="Arial" w:hAnsi="Arial" w:cs="Arial"/>
          <w:i/>
          <w:color w:val="000000" w:themeColor="text1"/>
          <w:sz w:val="24"/>
          <w:szCs w:val="24"/>
          <w:lang w:val="uk-UA"/>
        </w:rPr>
        <w:t>гетеролітичні</w:t>
      </w:r>
      <w:proofErr w:type="spellEnd"/>
      <w:r w:rsidRPr="00F80443">
        <w:rPr>
          <w:rFonts w:ascii="Arial" w:hAnsi="Arial" w:cs="Arial"/>
          <w:i/>
          <w:color w:val="000000" w:themeColor="text1"/>
          <w:sz w:val="24"/>
          <w:szCs w:val="24"/>
          <w:lang w:val="uk-UA"/>
        </w:rPr>
        <w:t xml:space="preserve"> (</w:t>
      </w:r>
      <w:proofErr w:type="spellStart"/>
      <w:r w:rsidRPr="00F80443">
        <w:rPr>
          <w:rFonts w:ascii="Arial" w:hAnsi="Arial" w:cs="Arial"/>
          <w:i/>
          <w:color w:val="000000" w:themeColor="text1"/>
          <w:sz w:val="24"/>
          <w:szCs w:val="24"/>
          <w:lang w:val="uk-UA"/>
        </w:rPr>
        <w:t>йонний</w:t>
      </w:r>
      <w:proofErr w:type="spellEnd"/>
      <w:r w:rsidRPr="00F80443">
        <w:rPr>
          <w:rFonts w:ascii="Arial" w:hAnsi="Arial" w:cs="Arial"/>
          <w:i/>
          <w:color w:val="000000" w:themeColor="text1"/>
          <w:sz w:val="24"/>
          <w:szCs w:val="24"/>
          <w:lang w:val="uk-UA"/>
        </w:rPr>
        <w:t xml:space="preserve"> механізм)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При </w:t>
      </w:r>
      <w:proofErr w:type="spellStart"/>
      <w:r w:rsidRPr="00F80443">
        <w:rPr>
          <w:rFonts w:ascii="Arial" w:hAnsi="Arial" w:cs="Arial"/>
          <w:b/>
          <w:color w:val="7030A0"/>
          <w:sz w:val="24"/>
          <w:szCs w:val="24"/>
          <w:lang w:val="uk-UA"/>
        </w:rPr>
        <w:t>гомолітичному</w:t>
      </w:r>
      <w:proofErr w:type="spellEnd"/>
      <w:r w:rsidRPr="00F80443">
        <w:rPr>
          <w:rFonts w:ascii="Arial" w:hAnsi="Arial" w:cs="Arial"/>
          <w:b/>
          <w:color w:val="7030A0"/>
          <w:sz w:val="24"/>
          <w:szCs w:val="24"/>
          <w:lang w:val="uk-UA"/>
        </w:rPr>
        <w:t xml:space="preserve"> розриві</w:t>
      </w:r>
      <w:r w:rsidRPr="00F80443">
        <w:rPr>
          <w:rFonts w:ascii="Arial" w:hAnsi="Arial" w:cs="Arial"/>
          <w:color w:val="7030A0"/>
          <w:sz w:val="24"/>
          <w:szCs w:val="24"/>
          <w:lang w:val="uk-UA"/>
        </w:rPr>
        <w:t xml:space="preserve"> 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ковалентний зв’язок розривається “симетрично“ таким чином, що утворюються вільні радикали – частинки, які мають неспарений електрон. При утворенні зв’язку електронна пара утворюється за рахунок одного електрона реагуючої частинки (радикала) та одного електрона реагенту (іншого радикала).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b/>
          <w:color w:val="7030A0"/>
          <w:sz w:val="24"/>
          <w:szCs w:val="24"/>
          <w:lang w:val="uk-UA"/>
        </w:rPr>
        <w:t xml:space="preserve">При </w:t>
      </w:r>
      <w:proofErr w:type="spellStart"/>
      <w:r w:rsidRPr="00F80443">
        <w:rPr>
          <w:rFonts w:ascii="Arial" w:hAnsi="Arial" w:cs="Arial"/>
          <w:b/>
          <w:color w:val="7030A0"/>
          <w:sz w:val="24"/>
          <w:szCs w:val="24"/>
          <w:lang w:val="uk-UA"/>
        </w:rPr>
        <w:t>гетеролітичному</w:t>
      </w:r>
      <w:proofErr w:type="spellEnd"/>
      <w:r w:rsidRPr="00F80443">
        <w:rPr>
          <w:rFonts w:ascii="Arial" w:hAnsi="Arial" w:cs="Arial"/>
          <w:b/>
          <w:color w:val="7030A0"/>
          <w:sz w:val="24"/>
          <w:szCs w:val="24"/>
          <w:lang w:val="uk-UA"/>
        </w:rPr>
        <w:t xml:space="preserve"> розриві</w:t>
      </w:r>
      <w:r w:rsidRPr="00F80443">
        <w:rPr>
          <w:rFonts w:ascii="Arial" w:hAnsi="Arial" w:cs="Arial"/>
          <w:color w:val="7030A0"/>
          <w:sz w:val="24"/>
          <w:szCs w:val="24"/>
          <w:lang w:val="uk-UA"/>
        </w:rPr>
        <w:t xml:space="preserve"> 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ковалентний зв’язок розривається “несиметрично“ таким чином, що електронна пара передається одному з атомів і утворюються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йони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(катіон та аніон). При утворенні зв’язку одна частинка (аніон) віддає пару електронів, а друга (катіон) – вільну орбіталь.</w:t>
      </w:r>
    </w:p>
    <w:p w:rsidR="00F80443" w:rsidRPr="00F80443" w:rsidRDefault="00F80443" w:rsidP="00E1442B">
      <w:pPr>
        <w:pStyle w:val="3"/>
        <w:shd w:val="clear" w:color="auto" w:fill="F2DBDB" w:themeFill="accent2" w:themeFillTint="33"/>
        <w:spacing w:before="120" w:after="120"/>
        <w:ind w:left="0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3" w:name="_Toc524312380"/>
      <w:r w:rsidRPr="00F80443">
        <w:rPr>
          <w:rFonts w:ascii="Arial" w:hAnsi="Arial" w:cs="Arial"/>
          <w:b w:val="0"/>
          <w:color w:val="000000" w:themeColor="text1"/>
          <w:sz w:val="24"/>
          <w:szCs w:val="24"/>
        </w:rPr>
        <w:t>1.2. Класифікація по напрямку реакції</w:t>
      </w:r>
      <w:bookmarkEnd w:id="3"/>
    </w:p>
    <w:p w:rsidR="00F80443" w:rsidRPr="00E1442B" w:rsidRDefault="00F80443" w:rsidP="00F80443">
      <w:pPr>
        <w:pStyle w:val="4"/>
        <w:spacing w:before="120" w:after="120" w:line="240" w:lineRule="auto"/>
        <w:jc w:val="both"/>
        <w:rPr>
          <w:rFonts w:ascii="Arial" w:hAnsi="Arial" w:cs="Arial"/>
          <w:color w:val="7030A0"/>
          <w:sz w:val="24"/>
          <w:szCs w:val="24"/>
          <w:lang w:val="uk-UA"/>
        </w:rPr>
      </w:pPr>
      <w:r w:rsidRPr="00E1442B">
        <w:rPr>
          <w:rFonts w:ascii="Arial" w:hAnsi="Arial" w:cs="Arial"/>
          <w:color w:val="7030A0"/>
          <w:sz w:val="24"/>
          <w:szCs w:val="24"/>
          <w:lang w:val="uk-UA"/>
        </w:rPr>
        <w:t>Реакції приєднання (символ А)</w:t>
      </w:r>
    </w:p>
    <w:p w:rsidR="00E1442B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Під цим терміном мають на увазі реакції ненасичених органічних сполук з певними елементами або сполуками. При цьому потрійний зв’язок перетворюється в подвійний або простий зв’язок, а подвійний зв’язок – в простий. 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Наприклад: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34" type="#_x0000_t75" style="position:absolute;left:0;text-align:left;margin-left:149.2pt;margin-top:5.45pt;width:193.2pt;height:59.2pt;z-index:251661312">
            <v:imagedata r:id="rId12" o:title=""/>
          </v:shape>
          <o:OLEObject Type="Embed" ProgID="ChemDraw.Document.6.0" ShapeID="_x0000_s1034" DrawAspect="Content" ObjectID="_1679854294" r:id="rId13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Сюди входять реакції гідрування, гідратації, галогенування,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гідрогалогенування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та ін.</w:t>
      </w:r>
    </w:p>
    <w:p w:rsidR="00F80443" w:rsidRPr="00E1442B" w:rsidRDefault="00F80443" w:rsidP="00F80443">
      <w:pPr>
        <w:spacing w:before="120" w:after="120" w:line="240" w:lineRule="auto"/>
        <w:jc w:val="both"/>
        <w:rPr>
          <w:rFonts w:ascii="Arial" w:hAnsi="Arial" w:cs="Arial"/>
          <w:b/>
          <w:i/>
          <w:color w:val="7030A0"/>
          <w:sz w:val="24"/>
          <w:szCs w:val="24"/>
          <w:lang w:val="uk-UA"/>
        </w:rPr>
      </w:pPr>
      <w:r w:rsidRPr="00E1442B">
        <w:rPr>
          <w:rFonts w:ascii="Arial" w:hAnsi="Arial" w:cs="Arial"/>
          <w:b/>
          <w:i/>
          <w:color w:val="7030A0"/>
          <w:sz w:val="24"/>
          <w:szCs w:val="24"/>
          <w:lang w:val="uk-UA"/>
        </w:rPr>
        <w:t>Реакції елімінування (відщеплення) (символ Е)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В цьому випадку від органічної сполуки відщеплюються прості  або складні речовини і в більшості </w:t>
      </w:r>
      <w:r w:rsidR="00E1442B">
        <w:rPr>
          <w:rFonts w:ascii="Arial" w:hAnsi="Arial" w:cs="Arial"/>
          <w:color w:val="000000" w:themeColor="text1"/>
          <w:sz w:val="24"/>
          <w:szCs w:val="24"/>
          <w:lang w:val="uk-UA"/>
        </w:rPr>
        <w:t>випадків утворюються ненасичені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сполуки. Наприклад: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35" type="#_x0000_t75" style="position:absolute;left:0;text-align:left;margin-left:120.8pt;margin-top:.25pt;width:210.6pt;height:15.4pt;z-index:251662336">
            <v:imagedata r:id="rId14" o:title=""/>
          </v:shape>
          <o:OLEObject Type="Embed" ProgID="ChemDraw.Document.6.0" ShapeID="_x0000_s1035" DrawAspect="Content" ObjectID="_1679854295" r:id="rId15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E1442B">
        <w:rPr>
          <w:rFonts w:ascii="Arial" w:hAnsi="Arial" w:cs="Arial"/>
          <w:i/>
          <w:color w:val="000000" w:themeColor="text1"/>
          <w:sz w:val="24"/>
          <w:szCs w:val="24"/>
          <w:lang w:val="uk-UA"/>
        </w:rPr>
        <w:t xml:space="preserve">Елімінування являє собою процес зворотний приєднанню – дегідрування, дегідратація, </w:t>
      </w:r>
      <w:proofErr w:type="spellStart"/>
      <w:r w:rsidRPr="00E1442B">
        <w:rPr>
          <w:rFonts w:ascii="Arial" w:hAnsi="Arial" w:cs="Arial"/>
          <w:i/>
          <w:color w:val="000000" w:themeColor="text1"/>
          <w:sz w:val="24"/>
          <w:szCs w:val="24"/>
          <w:lang w:val="uk-UA"/>
        </w:rPr>
        <w:t>дегалогенування</w:t>
      </w:r>
      <w:proofErr w:type="spellEnd"/>
      <w:r w:rsidRPr="00E1442B">
        <w:rPr>
          <w:rFonts w:ascii="Arial" w:hAnsi="Arial" w:cs="Arial"/>
          <w:i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E1442B">
        <w:rPr>
          <w:rFonts w:ascii="Arial" w:hAnsi="Arial" w:cs="Arial"/>
          <w:i/>
          <w:color w:val="000000" w:themeColor="text1"/>
          <w:sz w:val="24"/>
          <w:szCs w:val="24"/>
          <w:lang w:val="uk-UA"/>
        </w:rPr>
        <w:t>дегідрогалогенування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</w:p>
    <w:p w:rsidR="00F80443" w:rsidRPr="00E1442B" w:rsidRDefault="00F80443" w:rsidP="00F80443">
      <w:pPr>
        <w:pStyle w:val="4"/>
        <w:spacing w:before="120" w:after="120" w:line="240" w:lineRule="auto"/>
        <w:jc w:val="both"/>
        <w:rPr>
          <w:rFonts w:ascii="Arial" w:hAnsi="Arial" w:cs="Arial"/>
          <w:color w:val="7030A0"/>
          <w:sz w:val="24"/>
          <w:szCs w:val="24"/>
          <w:lang w:val="uk-UA"/>
        </w:rPr>
      </w:pPr>
      <w:r w:rsidRPr="00E1442B">
        <w:rPr>
          <w:rFonts w:ascii="Arial" w:hAnsi="Arial" w:cs="Arial"/>
          <w:color w:val="7030A0"/>
          <w:sz w:val="24"/>
          <w:szCs w:val="24"/>
          <w:lang w:val="uk-UA"/>
        </w:rPr>
        <w:t>Реакції заміщення (символ S)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36" type="#_x0000_t75" style="position:absolute;left:0;text-align:left;margin-left:145.3pt;margin-top:29.85pt;width:137.4pt;height:22.8pt;z-index:251663360">
            <v:imagedata r:id="rId16" o:title=""/>
          </v:shape>
          <o:OLEObject Type="Embed" ProgID="ChemDraw.Document.6.0" ShapeID="_x0000_s1036" DrawAspect="Content" ObjectID="_1679854296" r:id="rId17"/>
        </w:pic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В цих процесах будь-який атом або атомне угрупування в сполуці заміщується на інший атом чи інше атомне угрупування. Наприклад: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E1442B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Звичайно реакції заміщення </w: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називають по роду замісника, що входить в сполуку.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Реакції, в яких один з реагентів являється розчинником, називаються </w:t>
      </w:r>
      <w:r w:rsidRPr="00E1442B">
        <w:rPr>
          <w:rFonts w:ascii="Arial" w:hAnsi="Arial" w:cs="Arial"/>
          <w:color w:val="00B0F0"/>
          <w:sz w:val="24"/>
          <w:szCs w:val="24"/>
          <w:lang w:val="uk-UA"/>
        </w:rPr>
        <w:t>сольволізом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(</w:t>
      </w:r>
      <w:r w:rsidRPr="00E1442B">
        <w:rPr>
          <w:rFonts w:ascii="Arial" w:hAnsi="Arial" w:cs="Arial"/>
          <w:i/>
          <w:color w:val="000000" w:themeColor="text1"/>
          <w:sz w:val="24"/>
          <w:szCs w:val="24"/>
          <w:lang w:val="uk-UA"/>
        </w:rPr>
        <w:t>гідроліз, алкоголіз, амоноліз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т. ін.).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Наприклад, гідроліз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алкілгалогенідів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37" type="#_x0000_t75" style="position:absolute;left:0;text-align:left;margin-left:135pt;margin-top:1.85pt;width:229pt;height:15pt;z-index:251664384" o:allowincell="f">
            <v:imagedata r:id="rId18" o:title=""/>
          </v:shape>
          <o:OLEObject Type="Embed" ProgID="ChemDraw.Document.6.0" ShapeID="_x0000_s1037" DrawAspect="Content" ObjectID="_1679854297" r:id="rId19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амоноліз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алкілгалогенідів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38" type="#_x0000_t75" style="position:absolute;left:0;text-align:left;margin-left:127.9pt;margin-top:1.15pt;width:224.2pt;height:15.4pt;z-index:251665408" o:allowincell="f">
            <v:imagedata r:id="rId20" o:title=""/>
          </v:shape>
          <o:OLEObject Type="Embed" ProgID="ChemDraw.Document.6.0" ShapeID="_x0000_s1038" DrawAspect="Content" ObjectID="_1679854298" r:id="rId21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Якщо в процесі заміщення відщеплюється вода чи спирт, то говорять про </w:t>
      </w:r>
      <w:r w:rsidRPr="00E1442B">
        <w:rPr>
          <w:rFonts w:ascii="Arial" w:hAnsi="Arial" w:cs="Arial"/>
          <w:i/>
          <w:color w:val="000000" w:themeColor="text1"/>
          <w:sz w:val="24"/>
          <w:szCs w:val="24"/>
          <w:lang w:val="uk-UA"/>
        </w:rPr>
        <w:t>реакції конденсації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. Наприклад: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39" type="#_x0000_t75" style="position:absolute;left:0;text-align:left;margin-left:127.9pt;margin-top:5.9pt;width:229.6pt;height:43.6pt;z-index:251666432">
            <v:imagedata r:id="rId22" o:title=""/>
          </v:shape>
          <o:OLEObject Type="Embed" ProgID="ChemDraw.Document.6.0" ShapeID="_x0000_s1039" DrawAspect="Content" ObjectID="_1679854299" r:id="rId23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E1442B" w:rsidRDefault="00F80443" w:rsidP="00F80443">
      <w:pPr>
        <w:pStyle w:val="4"/>
        <w:spacing w:before="120" w:after="120" w:line="240" w:lineRule="auto"/>
        <w:jc w:val="both"/>
        <w:rPr>
          <w:rFonts w:ascii="Arial" w:hAnsi="Arial" w:cs="Arial"/>
          <w:color w:val="7030A0"/>
          <w:sz w:val="24"/>
          <w:szCs w:val="24"/>
          <w:lang w:val="uk-UA"/>
        </w:rPr>
      </w:pPr>
      <w:r w:rsidRPr="00E1442B">
        <w:rPr>
          <w:rFonts w:ascii="Arial" w:hAnsi="Arial" w:cs="Arial"/>
          <w:color w:val="7030A0"/>
          <w:sz w:val="24"/>
          <w:szCs w:val="24"/>
          <w:lang w:val="uk-UA"/>
        </w:rPr>
        <w:t>Реакції перегрупування (ізомеризації)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В процесі перегрупування атоми чи групи атомів в середині молекули міняються місцями. Реагент і продукт реакції являють собою  структурні ізомери або стереоізомери. Наприклад: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40" type="#_x0000_t75" style="position:absolute;left:0;text-align:left;margin-left:113.7pt;margin-top:1.95pt;width:219.15pt;height:46.35pt;z-index:251667456">
            <v:imagedata r:id="rId24" o:title=""/>
          </v:shape>
          <o:OLEObject Type="Embed" ProgID="ChemDraw.Document.6.0" ShapeID="_x0000_s1040" DrawAspect="Content" ObjectID="_1679854300" r:id="rId25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E1442B">
      <w:pPr>
        <w:pStyle w:val="3"/>
        <w:shd w:val="clear" w:color="auto" w:fill="F2DBDB" w:themeFill="accent2" w:themeFillTint="33"/>
        <w:spacing w:before="120" w:after="120"/>
        <w:ind w:left="0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4" w:name="_Toc524312381"/>
      <w:r w:rsidRPr="00F80443">
        <w:rPr>
          <w:rFonts w:ascii="Arial" w:hAnsi="Arial" w:cs="Arial"/>
          <w:b w:val="0"/>
          <w:color w:val="000000" w:themeColor="text1"/>
          <w:sz w:val="24"/>
          <w:szCs w:val="24"/>
        </w:rPr>
        <w:t>1.3. Класифікація по реагуючим частинкам</w:t>
      </w:r>
      <w:bookmarkEnd w:id="4"/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E1442B">
        <w:rPr>
          <w:rFonts w:ascii="Arial" w:hAnsi="Arial" w:cs="Arial"/>
          <w:i/>
          <w:color w:val="000000" w:themeColor="text1"/>
          <w:sz w:val="24"/>
          <w:szCs w:val="24"/>
          <w:lang w:val="uk-UA"/>
        </w:rPr>
        <w:t>Один з партнерів, що приймає участь</w:t>
      </w:r>
      <w:r w:rsidR="00E1442B" w:rsidRPr="00E1442B">
        <w:rPr>
          <w:rFonts w:ascii="Arial" w:hAnsi="Arial" w:cs="Arial"/>
          <w:i/>
          <w:color w:val="000000" w:themeColor="text1"/>
          <w:sz w:val="24"/>
          <w:szCs w:val="24"/>
          <w:lang w:val="uk-UA"/>
        </w:rPr>
        <w:t xml:space="preserve"> в реакції вважають реагентом, </w:t>
      </w:r>
      <w:r w:rsidRPr="00E1442B">
        <w:rPr>
          <w:rFonts w:ascii="Arial" w:hAnsi="Arial" w:cs="Arial"/>
          <w:i/>
          <w:color w:val="000000" w:themeColor="text1"/>
          <w:sz w:val="24"/>
          <w:szCs w:val="24"/>
          <w:lang w:val="uk-UA"/>
        </w:rPr>
        <w:t>електронний характер якого лягає в основу класифікації реакцій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Реагент з вільним електроном переважно взаємодіє з партнером, що має вільний електрон, або при розриві зв’язку утворюються частинки, які мають неспарені електрони. Такі частинки нази</w:t>
      </w:r>
      <w:r w:rsidR="00E1442B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ваються </w:t>
      </w:r>
      <w:r w:rsidR="00E1442B" w:rsidRPr="00E1442B">
        <w:rPr>
          <w:rFonts w:ascii="Arial" w:hAnsi="Arial" w:cs="Arial"/>
          <w:b/>
          <w:color w:val="7030A0"/>
          <w:sz w:val="24"/>
          <w:szCs w:val="24"/>
          <w:lang w:val="uk-UA"/>
        </w:rPr>
        <w:t>вільними радикалами</w:t>
      </w:r>
      <w:r w:rsidR="00E1442B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, а </w:t>
      </w:r>
      <w:r w:rsidRPr="00E1442B">
        <w:rPr>
          <w:rFonts w:ascii="Arial" w:hAnsi="Arial" w:cs="Arial"/>
          <w:b/>
          <w:color w:val="7030A0"/>
          <w:sz w:val="24"/>
          <w:szCs w:val="24"/>
          <w:lang w:val="uk-UA"/>
        </w:rPr>
        <w:t>механізм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такої </w:t>
      </w:r>
      <w:r w:rsidRPr="00E1442B">
        <w:rPr>
          <w:rFonts w:ascii="Arial" w:hAnsi="Arial" w:cs="Arial"/>
          <w:b/>
          <w:color w:val="7030A0"/>
          <w:sz w:val="24"/>
          <w:szCs w:val="24"/>
          <w:lang w:val="uk-UA"/>
        </w:rPr>
        <w:t>реакції радикальним (символ R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):</w:t>
      </w:r>
    </w:p>
    <w:p w:rsidR="00F80443" w:rsidRPr="00F80443" w:rsidRDefault="00E1442B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41" type="#_x0000_t75" style="position:absolute;left:0;text-align:left;margin-left:175.1pt;margin-top:5.1pt;width:114.6pt;height:40.8pt;z-index:251668480">
            <v:imagedata r:id="rId26" o:title=""/>
          </v:shape>
          <o:OLEObject Type="Embed" ProgID="ChemDraw.Document.6.0" ShapeID="_x0000_s1041" DrawAspect="Content" ObjectID="_1679854301" r:id="rId27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E1442B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42" type="#_x0000_t75" style="position:absolute;left:0;text-align:left;margin-left:147.8pt;margin-top:38.35pt;width:173.8pt;height:50.8pt;z-index:251669504">
            <v:imagedata r:id="rId28" o:title=""/>
          </v:shape>
          <o:OLEObject Type="Embed" ProgID="ChemDraw.Document.6.0" ShapeID="_x0000_s1042" DrawAspect="Content" ObjectID="_1679854302" r:id="rId29"/>
        </w:pic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Реагент з вільними електронними парами переважно взаємодіє з партнером, що має нестачу електронів. Такий реагент називається </w:t>
      </w:r>
      <w:proofErr w:type="spellStart"/>
      <w:r w:rsidR="00F80443" w:rsidRPr="00E1442B">
        <w:rPr>
          <w:rFonts w:ascii="Arial" w:hAnsi="Arial" w:cs="Arial"/>
          <w:b/>
          <w:color w:val="7030A0"/>
          <w:sz w:val="24"/>
          <w:szCs w:val="24"/>
          <w:lang w:val="uk-UA"/>
        </w:rPr>
        <w:t>нуклеофілом</w:t>
      </w:r>
      <w:proofErr w:type="spellEnd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, а відповідне перетворення – </w:t>
      </w:r>
      <w:proofErr w:type="spellStart"/>
      <w:r w:rsidR="00F80443" w:rsidRPr="00E1442B">
        <w:rPr>
          <w:rFonts w:ascii="Arial" w:hAnsi="Arial" w:cs="Arial"/>
          <w:b/>
          <w:color w:val="7030A0"/>
          <w:sz w:val="24"/>
          <w:szCs w:val="24"/>
          <w:lang w:val="uk-UA"/>
        </w:rPr>
        <w:t>нуклеофільною</w:t>
      </w:r>
      <w:proofErr w:type="spellEnd"/>
      <w:r w:rsidR="00F80443" w:rsidRPr="00E1442B">
        <w:rPr>
          <w:rFonts w:ascii="Arial" w:hAnsi="Arial" w:cs="Arial"/>
          <w:b/>
          <w:color w:val="7030A0"/>
          <w:sz w:val="24"/>
          <w:szCs w:val="24"/>
          <w:lang w:val="uk-UA"/>
        </w:rPr>
        <w:t xml:space="preserve"> реакцією (символ N)</w: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До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нуклеофільних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реагентів належать аніони з неподіленими парами електронів,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йонні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пари і нейтральні молекули з сильно полярним зв’язком, який здатний до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йонізації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</w:p>
    <w:p w:rsidR="00F80443" w:rsidRPr="00F80443" w:rsidRDefault="00E1442B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43" type="#_x0000_t75" style="position:absolute;left:0;text-align:left;margin-left:146pt;margin-top:41.45pt;width:136.35pt;height:19pt;z-index:251670528" o:allowincell="f">
            <v:imagedata r:id="rId30" o:title=""/>
          </v:shape>
          <o:OLEObject Type="Embed" ProgID="ChemDraw.Document.6.0" ShapeID="_x0000_s1043" DrawAspect="Content" ObjectID="_1679854303" r:id="rId31"/>
        </w:pic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Реагент з нестачею електронів виявляє спорідненість до субстратів з надлишком електронів. Такий реагент називають </w:t>
      </w:r>
      <w:proofErr w:type="spellStart"/>
      <w:r w:rsidR="00F80443" w:rsidRPr="00E1442B">
        <w:rPr>
          <w:rFonts w:ascii="Arial" w:hAnsi="Arial" w:cs="Arial"/>
          <w:b/>
          <w:color w:val="7030A0"/>
          <w:sz w:val="24"/>
          <w:szCs w:val="24"/>
          <w:lang w:val="uk-UA"/>
        </w:rPr>
        <w:t>електрофілом</w:t>
      </w:r>
      <w:proofErr w:type="spellEnd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, а відповідне перетворення є </w:t>
      </w:r>
      <w:proofErr w:type="spellStart"/>
      <w:r w:rsidR="00F80443" w:rsidRPr="00E1442B">
        <w:rPr>
          <w:rFonts w:ascii="Arial" w:hAnsi="Arial" w:cs="Arial"/>
          <w:b/>
          <w:color w:val="7030A0"/>
          <w:sz w:val="24"/>
          <w:szCs w:val="24"/>
          <w:lang w:val="uk-UA"/>
        </w:rPr>
        <w:t>електрофільною</w:t>
      </w:r>
      <w:proofErr w:type="spellEnd"/>
      <w:r w:rsidR="00F80443" w:rsidRPr="00E1442B">
        <w:rPr>
          <w:rFonts w:ascii="Arial" w:hAnsi="Arial" w:cs="Arial"/>
          <w:b/>
          <w:color w:val="7030A0"/>
          <w:sz w:val="24"/>
          <w:szCs w:val="24"/>
          <w:lang w:val="uk-UA"/>
        </w:rPr>
        <w:t xml:space="preserve"> реакцією (символ Е)</w: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Електрофільними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реагентами називаються частинки з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електроноакцепторними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властивостями, які утворюють в реакції зв’язок зі своїм партнером (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нуклеофілом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), акцептуючи обидва електрони партнера. До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електрофілів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належать катіони з вільною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орбіталлю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, усі нейтральні молекули, які містять атоми з вільними орбіталями або які володіють спорідненістю до електрону, нейтральні сполуки з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сильнополярним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зв’язком.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В залежності від того, яка частинка є реагентом – радикал,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нуклеофіл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чи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електрофіл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, розділяють відповідно радикальний,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нуклеофільний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або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електрофільний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механізми реакції.</w:t>
      </w:r>
    </w:p>
    <w:p w:rsidR="00F80443" w:rsidRPr="00F80443" w:rsidRDefault="00F80443" w:rsidP="00E1442B">
      <w:pPr>
        <w:pStyle w:val="3"/>
        <w:shd w:val="clear" w:color="auto" w:fill="F2DBDB" w:themeFill="accent2" w:themeFillTint="33"/>
        <w:spacing w:before="120" w:after="120"/>
        <w:ind w:left="0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5" w:name="_Toc524312382"/>
      <w:r w:rsidRPr="00F80443">
        <w:rPr>
          <w:rFonts w:ascii="Arial" w:hAnsi="Arial" w:cs="Arial"/>
          <w:b w:val="0"/>
          <w:color w:val="000000" w:themeColor="text1"/>
          <w:sz w:val="24"/>
          <w:szCs w:val="24"/>
        </w:rPr>
        <w:t>1.4. Класифікація по стадії, яка визначає швидкість реакції</w:t>
      </w:r>
      <w:bookmarkEnd w:id="5"/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Швидкість всієї реакції визначається найбільш повільною стадією. В залежності від того, скільки частинок приймає участь в цій стадії, розрізняють:</w:t>
      </w:r>
    </w:p>
    <w:p w:rsidR="00F80443" w:rsidRPr="00F80443" w:rsidRDefault="00F80443" w:rsidP="00F80443">
      <w:pPr>
        <w:numPr>
          <w:ilvl w:val="0"/>
          <w:numId w:val="5"/>
        </w:numPr>
        <w:spacing w:before="120" w:after="120" w:line="24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мономолекулярні реакції (в найбільш повільній стадії приймає участь одна частинка);</w:t>
      </w:r>
    </w:p>
    <w:p w:rsidR="00F80443" w:rsidRPr="00F80443" w:rsidRDefault="00F80443" w:rsidP="00F80443">
      <w:pPr>
        <w:numPr>
          <w:ilvl w:val="0"/>
          <w:numId w:val="5"/>
        </w:numPr>
        <w:spacing w:before="120" w:after="120" w:line="24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бімолекулярні реакції (дві частинки);</w:t>
      </w:r>
    </w:p>
    <w:p w:rsidR="00F80443" w:rsidRPr="00F80443" w:rsidRDefault="00F80443" w:rsidP="00F80443">
      <w:pPr>
        <w:numPr>
          <w:ilvl w:val="0"/>
          <w:numId w:val="5"/>
        </w:numPr>
        <w:spacing w:before="120" w:after="120" w:line="24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реакції вищої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молекулярності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або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полімолекулярні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(три і більше частинок).</w:t>
      </w:r>
    </w:p>
    <w:p w:rsidR="00F80443" w:rsidRPr="00F80443" w:rsidRDefault="00F80443" w:rsidP="00E1442B">
      <w:pPr>
        <w:pStyle w:val="3"/>
        <w:shd w:val="clear" w:color="auto" w:fill="F2DBDB" w:themeFill="accent2" w:themeFillTint="33"/>
        <w:spacing w:before="120" w:after="120"/>
        <w:ind w:left="0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6" w:name="_Toc524312383"/>
      <w:r w:rsidRPr="00F80443">
        <w:rPr>
          <w:rFonts w:ascii="Arial" w:hAnsi="Arial" w:cs="Arial"/>
          <w:b w:val="0"/>
          <w:color w:val="000000" w:themeColor="text1"/>
          <w:sz w:val="24"/>
          <w:szCs w:val="24"/>
        </w:rPr>
        <w:t>1.5. Комбінована класифікація реакцій органічних речовин</w:t>
      </w:r>
      <w:bookmarkEnd w:id="6"/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Класифікації, про які йшла мова  вище, дуже часто поєднують одну з іншою. Так, наприклад. Можна говорити про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електрофільне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приєднання, про мономолекулярне або бімолекулярне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нуклеофільне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заміщення, чи про мономолекулярне або бімолекулярне елімінування (відповідні символи – А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bscript"/>
          <w:lang w:val="uk-UA"/>
        </w:rPr>
        <w:t>Е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, S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bscript"/>
          <w:lang w:val="uk-UA"/>
        </w:rPr>
        <w:t>N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1, S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bscript"/>
          <w:lang w:val="uk-UA"/>
        </w:rPr>
        <w:t>N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2, E1, E2).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Наприклад мономолекулярне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нуклеофільне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заміщення (S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bscript"/>
          <w:lang w:val="uk-UA"/>
        </w:rPr>
        <w:t>N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1):</w:t>
      </w:r>
    </w:p>
    <w:p w:rsidR="00F80443" w:rsidRPr="00F80443" w:rsidRDefault="00281A2E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44" type="#_x0000_t75" style="position:absolute;left:0;text-align:left;margin-left:109.55pt;margin-top:17.2pt;width:136.6pt;height:50.6pt;z-index:251671552">
            <v:imagedata r:id="rId32" o:title=""/>
          </v:shape>
          <o:OLEObject Type="Embed" ProgID="ChemDraw.Document.6.0" ShapeID="_x0000_s1044" DrawAspect="Content" ObjectID="_1679854304" r:id="rId33"/>
        </w:pic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– стадія, що визначає швидкість реакції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S – заміщення, N –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нуклеофільне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, 1 – порядок реакції.</w:t>
      </w:r>
    </w:p>
    <w:p w:rsidR="00281A2E" w:rsidRPr="00F80443" w:rsidRDefault="00281A2E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281A2E" w:rsidRDefault="00F80443" w:rsidP="00281A2E">
      <w:pPr>
        <w:pStyle w:val="2"/>
        <w:shd w:val="clear" w:color="auto" w:fill="E5B8B7" w:themeFill="accent2" w:themeFillTint="66"/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bookmarkStart w:id="7" w:name="_Toc524312384"/>
      <w:r w:rsidRPr="00281A2E">
        <w:rPr>
          <w:rFonts w:ascii="Arial" w:hAnsi="Arial" w:cs="Arial"/>
          <w:color w:val="000000" w:themeColor="text1"/>
          <w:sz w:val="24"/>
          <w:szCs w:val="24"/>
          <w:lang w:val="uk-UA"/>
        </w:rPr>
        <w:lastRenderedPageBreak/>
        <w:t>2. Фактори, що впливають на проходження реакцій</w:t>
      </w:r>
      <w:bookmarkEnd w:id="7"/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Хімічна реакція відбувається в результаті зіткнення частинок, що мають достатню енергію і відповідну орієнтацію. Швидкість реакції визначається швидкістю, з якою відбуваються ці ефективні зіткнення, числом ефективних зіткнень, які відбуваються протягом кожної одиниці часу в кожній одиниці об’єму реакційного простору. 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Найважливішим фактором, що визначає швидкість реакції, є </w:t>
      </w:r>
      <w:r w:rsidRPr="00DB71C0">
        <w:rPr>
          <w:rFonts w:ascii="Arial" w:hAnsi="Arial" w:cs="Arial"/>
          <w:b/>
          <w:color w:val="7030A0"/>
          <w:sz w:val="24"/>
          <w:szCs w:val="24"/>
          <w:lang w:val="uk-UA"/>
        </w:rPr>
        <w:t>енергетичний фактор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, який визначається числом зіткнень, що мають достатню енергію. Цей фактор залежить від температури, яку можна контролювати та від енергії активації, яка характерна для кожної реакції.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Швидкість реакції А + В → АВ можна виразити рівнянням:</w:t>
      </w:r>
    </w:p>
    <w:p w:rsidR="00F80443" w:rsidRPr="00F80443" w:rsidRDefault="00F80443" w:rsidP="00281A2E">
      <w:pPr>
        <w:spacing w:before="120" w:after="12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position w:val="-10"/>
          <w:sz w:val="24"/>
          <w:szCs w:val="24"/>
          <w:lang w:val="uk-UA"/>
        </w:rPr>
        <w:object w:dxaOrig="1740" w:dyaOrig="340">
          <v:shape id="_x0000_i1026" type="#_x0000_t75" style="width:86.95pt;height:16.85pt" o:ole="" fillcolor="window">
            <v:imagedata r:id="rId34" o:title=""/>
          </v:shape>
          <o:OLEObject Type="Embed" ProgID="Equation.3" ShapeID="_x0000_i1026" DrawAspect="Content" ObjectID="_1679854278" r:id="rId35"/>
        </w:objec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, де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position w:val="-6"/>
          <w:sz w:val="24"/>
          <w:szCs w:val="24"/>
          <w:lang w:val="uk-UA"/>
        </w:rPr>
        <w:object w:dxaOrig="220" w:dyaOrig="279">
          <v:shape id="_x0000_i1027" type="#_x0000_t75" style="width:11.2pt;height:14.05pt" o:ole="" fillcolor="window">
            <v:imagedata r:id="rId36" o:title=""/>
          </v:shape>
          <o:OLEObject Type="Embed" ProgID="Equation.3" ShapeID="_x0000_i1027" DrawAspect="Content" ObjectID="_1679854279" r:id="rId37"/>
        </w:objec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- константа швидкості реакції; </w:t>
      </w:r>
      <w:r w:rsidRPr="00F80443">
        <w:rPr>
          <w:rFonts w:ascii="Arial" w:hAnsi="Arial" w:cs="Arial"/>
          <w:color w:val="000000" w:themeColor="text1"/>
          <w:position w:val="-10"/>
          <w:sz w:val="24"/>
          <w:szCs w:val="24"/>
          <w:lang w:val="uk-UA"/>
        </w:rPr>
        <w:object w:dxaOrig="480" w:dyaOrig="340">
          <v:shape id="_x0000_i1028" type="#_x0000_t75" style="width:24.3pt;height:16.85pt" o:ole="" fillcolor="window">
            <v:imagedata r:id="rId38" o:title=""/>
          </v:shape>
          <o:OLEObject Type="Embed" ProgID="Equation.3" ShapeID="_x0000_i1028" DrawAspect="Content" ObjectID="_1679854280" r:id="rId39"/>
        </w:objec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 та  </w:t>
      </w:r>
      <w:r w:rsidRPr="00F80443">
        <w:rPr>
          <w:rFonts w:ascii="Arial" w:hAnsi="Arial" w:cs="Arial"/>
          <w:color w:val="000000" w:themeColor="text1"/>
          <w:position w:val="-10"/>
          <w:sz w:val="24"/>
          <w:szCs w:val="24"/>
          <w:lang w:val="uk-UA"/>
        </w:rPr>
        <w:object w:dxaOrig="480" w:dyaOrig="340">
          <v:shape id="_x0000_i1029" type="#_x0000_t75" style="width:24.3pt;height:16.85pt" o:ole="" fillcolor="window">
            <v:imagedata r:id="rId40" o:title=""/>
          </v:shape>
          <o:OLEObject Type="Embed" ProgID="Equation.3" ShapeID="_x0000_i1029" DrawAspect="Content" ObjectID="_1679854281" r:id="rId41"/>
        </w:objec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– концентрація  речовин А та В.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Для </w:t>
      </w:r>
      <w:r w:rsidRPr="00F80443">
        <w:rPr>
          <w:rFonts w:ascii="Arial" w:hAnsi="Arial" w:cs="Arial"/>
          <w:color w:val="000000" w:themeColor="text1"/>
          <w:position w:val="-6"/>
          <w:sz w:val="24"/>
          <w:szCs w:val="24"/>
          <w:lang w:val="uk-UA"/>
        </w:rPr>
        <w:object w:dxaOrig="220" w:dyaOrig="279">
          <v:shape id="_x0000_i1030" type="#_x0000_t75" style="width:11.2pt;height:14.05pt" o:ole="" fillcolor="window">
            <v:imagedata r:id="rId42" o:title=""/>
          </v:shape>
          <o:OLEObject Type="Embed" ProgID="Equation.3" ShapeID="_x0000_i1030" DrawAspect="Content" ObjectID="_1679854282" r:id="rId43"/>
        </w:objec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, відповідно до рівняння С.</w:t>
      </w:r>
      <w:r w:rsidR="00281A2E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Ареніуса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правомірно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:</w:t>
      </w:r>
    </w:p>
    <w:p w:rsidR="00F80443" w:rsidRPr="00F80443" w:rsidRDefault="00F80443" w:rsidP="00281A2E">
      <w:pPr>
        <w:spacing w:before="120" w:after="12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position w:val="-6"/>
          <w:sz w:val="24"/>
          <w:szCs w:val="24"/>
          <w:lang w:val="uk-UA"/>
        </w:rPr>
        <w:object w:dxaOrig="1540" w:dyaOrig="520">
          <v:shape id="_x0000_i1031" type="#_x0000_t75" style="width:76.7pt;height:26.2pt" o:ole="" fillcolor="window">
            <v:imagedata r:id="rId44" o:title=""/>
          </v:shape>
          <o:OLEObject Type="Embed" ProgID="Equation.3" ShapeID="_x0000_i1031" DrawAspect="Content" ObjectID="_1679854283" r:id="rId45"/>
        </w:obje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Відповідно до цього рівняння, </w:t>
      </w:r>
      <w:r w:rsidRPr="00F80443">
        <w:rPr>
          <w:rFonts w:ascii="Arial" w:hAnsi="Arial" w:cs="Arial"/>
          <w:color w:val="000000" w:themeColor="text1"/>
          <w:position w:val="-6"/>
          <w:sz w:val="24"/>
          <w:szCs w:val="24"/>
          <w:lang w:val="uk-UA"/>
        </w:rPr>
        <w:object w:dxaOrig="220" w:dyaOrig="279">
          <v:shape id="_x0000_i1032" type="#_x0000_t75" style="width:11.2pt;height:14.05pt" o:ole="" fillcolor="window">
            <v:imagedata r:id="rId46" o:title=""/>
          </v:shape>
          <o:OLEObject Type="Embed" ProgID="Equation.3" ShapeID="_x0000_i1032" DrawAspect="Content" ObjectID="_1679854284" r:id="rId47"/>
        </w:objec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пропорційно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частоті зіткнень </w:t>
      </w:r>
      <w:r w:rsidRPr="00F80443">
        <w:rPr>
          <w:rFonts w:ascii="Arial" w:hAnsi="Arial" w:cs="Arial"/>
          <w:color w:val="000000" w:themeColor="text1"/>
          <w:position w:val="-4"/>
          <w:sz w:val="24"/>
          <w:szCs w:val="24"/>
          <w:lang w:val="uk-UA"/>
        </w:rPr>
        <w:object w:dxaOrig="260" w:dyaOrig="260">
          <v:shape id="_x0000_i1033" type="#_x0000_t75" style="width:13.1pt;height:13.1pt" o:ole="" fillcolor="window">
            <v:imagedata r:id="rId48" o:title=""/>
          </v:shape>
          <o:OLEObject Type="Embed" ProgID="Equation.3" ShapeID="_x0000_i1033" DrawAspect="Content" ObjectID="_1679854285" r:id="rId49"/>
        </w:objec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. Але не кожне зіткнення призводить до хімічної реакції. Щоб привести молекулу в збуджений стан, повинна бути досягнута мінімальна енергія </w:t>
      </w:r>
      <w:r w:rsidRPr="00F80443">
        <w:rPr>
          <w:rFonts w:ascii="Arial" w:hAnsi="Arial" w:cs="Arial"/>
          <w:color w:val="000000" w:themeColor="text1"/>
          <w:position w:val="-12"/>
          <w:sz w:val="24"/>
          <w:szCs w:val="24"/>
          <w:lang w:val="uk-UA"/>
        </w:rPr>
        <w:object w:dxaOrig="320" w:dyaOrig="360">
          <v:shape id="_x0000_i1034" type="#_x0000_t75" style="width:15.9pt;height:17.75pt" o:ole="" fillcolor="window">
            <v:imagedata r:id="rId50" o:title=""/>
          </v:shape>
          <o:OLEObject Type="Embed" ProgID="Equation.3" ShapeID="_x0000_i1034" DrawAspect="Content" ObjectID="_1679854286" r:id="rId51"/>
        </w:objec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, енергія активації. </w:t>
      </w:r>
      <w:r w:rsidRPr="00281A2E">
        <w:rPr>
          <w:rFonts w:ascii="Arial" w:hAnsi="Arial" w:cs="Arial"/>
          <w:b/>
          <w:color w:val="7030A0"/>
          <w:sz w:val="24"/>
          <w:szCs w:val="24"/>
          <w:lang w:val="uk-UA"/>
        </w:rPr>
        <w:t>Енергія активації</w:t>
      </w:r>
      <w:r w:rsidRPr="00281A2E">
        <w:rPr>
          <w:rFonts w:ascii="Arial" w:hAnsi="Arial" w:cs="Arial"/>
          <w:color w:val="7030A0"/>
          <w:sz w:val="24"/>
          <w:szCs w:val="24"/>
          <w:lang w:val="uk-UA"/>
        </w:rPr>
        <w:t xml:space="preserve"> 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– це кількість додаткової енергії, необхідної для переходу системи з вихідного стану в перехідний стан. Тому концентрація </w:t>
      </w:r>
      <w:r w:rsidRPr="00F80443">
        <w:rPr>
          <w:rFonts w:ascii="Arial" w:hAnsi="Arial" w:cs="Arial"/>
          <w:color w:val="000000" w:themeColor="text1"/>
          <w:position w:val="-12"/>
          <w:sz w:val="24"/>
          <w:szCs w:val="24"/>
          <w:lang w:val="uk-UA"/>
        </w:rPr>
        <w:object w:dxaOrig="320" w:dyaOrig="360">
          <v:shape id="_x0000_i1035" type="#_x0000_t75" style="width:15.9pt;height:17.75pt" o:ole="" fillcolor="window">
            <v:imagedata r:id="rId52" o:title=""/>
          </v:shape>
          <o:OLEObject Type="Embed" ProgID="Equation.3" ShapeID="_x0000_i1035" DrawAspect="Content" ObjectID="_1679854287" r:id="rId53"/>
        </w:objec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повинна бути основою для поняття реакційної здатності. Щоб її можливо було використовувати, необхідно розглянути концепцію перехідного стану.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Хімічна реакція – це безперервний процес, який полягає в поступовому  переході від вихідних речовин до кінцевих продуктів. Розташування атомів в проміжній структурі розглядається так, немов це реальна частинка. Така проміжна структура і називається </w:t>
      </w:r>
      <w:r w:rsidRPr="00DB71C0">
        <w:rPr>
          <w:rFonts w:ascii="Arial" w:hAnsi="Arial" w:cs="Arial"/>
          <w:color w:val="7030A0"/>
          <w:sz w:val="24"/>
          <w:szCs w:val="24"/>
          <w:lang w:val="uk-UA"/>
        </w:rPr>
        <w:t>перехідним станом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(одні зв’язки ще повністю не розірвалися, а інші ще повністю не утворилися). Для реакції А + В → А–В це може бути – А···В. Таким чином,  послід</w:t>
      </w:r>
      <w:r w:rsidR="00281A2E">
        <w:rPr>
          <w:rFonts w:ascii="Arial" w:hAnsi="Arial" w:cs="Arial"/>
          <w:color w:val="000000" w:themeColor="text1"/>
          <w:sz w:val="24"/>
          <w:szCs w:val="24"/>
          <w:lang w:val="uk-UA"/>
        </w:rPr>
        <w:t>овність реакції наступна (мал.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1):</w:t>
      </w:r>
      <w:r w:rsidR="00DB71C0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</w:p>
    <w:p w:rsidR="00F80443" w:rsidRPr="00F80443" w:rsidRDefault="00F80443" w:rsidP="00281A2E">
      <w:pPr>
        <w:spacing w:before="120" w:after="12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 + В → А···В → А–В</w:t>
      </w:r>
    </w:p>
    <w:p w:rsidR="00F80443" w:rsidRPr="00F80443" w:rsidRDefault="00281A2E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DB71C0">
        <w:rPr>
          <w:rFonts w:ascii="Arial" w:hAnsi="Arial" w:cs="Arial"/>
          <w:noProof/>
          <w:color w:val="7030A0"/>
          <w:sz w:val="24"/>
          <w:szCs w:val="24"/>
          <w:lang w:val="uk-UA" w:eastAsia="ru-RU"/>
        </w:rPr>
        <w:drawing>
          <wp:anchor distT="0" distB="0" distL="114300" distR="114300" simplePos="0" relativeHeight="251672576" behindDoc="0" locked="0" layoutInCell="0" allowOverlap="1" wp14:anchorId="23922E65" wp14:editId="3A0A984F">
            <wp:simplePos x="0" y="0"/>
            <wp:positionH relativeFrom="column">
              <wp:posOffset>1488440</wp:posOffset>
            </wp:positionH>
            <wp:positionV relativeFrom="paragraph">
              <wp:posOffset>372745</wp:posOffset>
            </wp:positionV>
            <wp:extent cx="3883025" cy="2392680"/>
            <wp:effectExtent l="0" t="0" r="0" b="0"/>
            <wp:wrapNone/>
            <wp:docPr id="13" name="Диаграмм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443" w:rsidRPr="00DB71C0">
        <w:rPr>
          <w:rFonts w:ascii="Arial" w:hAnsi="Arial" w:cs="Arial"/>
          <w:color w:val="7030A0"/>
          <w:sz w:val="24"/>
          <w:szCs w:val="24"/>
          <w:lang w:val="uk-UA"/>
        </w:rPr>
        <w:t xml:space="preserve">Енергія активації </w: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(</w:t>
      </w:r>
      <w:r w:rsidR="00F80443" w:rsidRPr="00F80443">
        <w:rPr>
          <w:rFonts w:ascii="Arial" w:hAnsi="Arial" w:cs="Arial"/>
          <w:color w:val="000000" w:themeColor="text1"/>
          <w:position w:val="-12"/>
          <w:sz w:val="24"/>
          <w:szCs w:val="24"/>
          <w:lang w:val="uk-UA"/>
        </w:rPr>
        <w:object w:dxaOrig="320" w:dyaOrig="360">
          <v:shape id="_x0000_i1036" type="#_x0000_t75" style="width:15.9pt;height:17.75pt" o:ole="" fillcolor="window">
            <v:imagedata r:id="rId52" o:title=""/>
          </v:shape>
          <o:OLEObject Type="Embed" ProgID="Equation.3" ShapeID="_x0000_i1036" DrawAspect="Content" ObjectID="_1679854288" r:id="rId55"/>
        </w:objec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) – різниця між вільними енергіями вихідних речовин і перехідного стану.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281A2E" w:rsidP="00281A2E">
      <w:pPr>
        <w:spacing w:before="120" w:after="12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>
        <w:rPr>
          <w:rFonts w:ascii="Arial" w:hAnsi="Arial" w:cs="Arial"/>
          <w:color w:val="000000" w:themeColor="text1"/>
          <w:sz w:val="24"/>
          <w:szCs w:val="24"/>
          <w:lang w:val="uk-UA"/>
        </w:rPr>
        <w:t>Мал.</w: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1. Діаграма реакції з проміжним станом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lastRenderedPageBreak/>
        <w:t>Будову перехідного стану можна аналізувати так, немов це реальна частинка, та можливо оцінити її стійкість. Однак, існують реакції, при проходженні яких виникає дійсно реальна проміжна частинка С. Але в цьому випадку спочатку повинен бути досягнутий перехідний стан А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bscript"/>
          <w:lang w:val="uk-UA"/>
        </w:rPr>
        <w:t>1</w:t>
      </w:r>
      <w:r w:rsidR="00281A2E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(мал.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2).</w:t>
      </w:r>
    </w:p>
    <w:p w:rsidR="00F80443" w:rsidRPr="00F80443" w:rsidRDefault="00281A2E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 w:eastAsia="ru-RU"/>
        </w:rPr>
        <w:drawing>
          <wp:anchor distT="0" distB="0" distL="114300" distR="114300" simplePos="0" relativeHeight="251673600" behindDoc="0" locked="0" layoutInCell="1" allowOverlap="1" wp14:anchorId="0B76CB33" wp14:editId="675E210B">
            <wp:simplePos x="0" y="0"/>
            <wp:positionH relativeFrom="column">
              <wp:posOffset>1286510</wp:posOffset>
            </wp:positionH>
            <wp:positionV relativeFrom="paragraph">
              <wp:posOffset>33020</wp:posOffset>
            </wp:positionV>
            <wp:extent cx="3977640" cy="2484755"/>
            <wp:effectExtent l="0" t="0" r="3810" b="0"/>
            <wp:wrapNone/>
            <wp:docPr id="12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281A2E" w:rsidP="00281A2E">
      <w:pPr>
        <w:spacing w:before="120" w:after="12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>
        <w:rPr>
          <w:rFonts w:ascii="Arial" w:hAnsi="Arial" w:cs="Arial"/>
          <w:color w:val="000000" w:themeColor="text1"/>
          <w:sz w:val="24"/>
          <w:szCs w:val="24"/>
          <w:lang w:val="uk-UA"/>
        </w:rPr>
        <w:t>Мал.</w: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2. Діаграма реакції з проміжною частинкою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Проміжний продукт С, що утворився, являє собою структуру з відносно великою енергією, але яка існує як реальна частинка (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йон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або радикал). Цей проміжний продукт, завдяки великій енергії, звичайно володіє високою реакційною здатністю і, поглинаючи невелику енергію активації Е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bscript"/>
          <w:lang w:val="uk-UA"/>
        </w:rPr>
        <w:t>а,2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(перехідний стан В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bscript"/>
          <w:lang w:val="uk-UA"/>
        </w:rPr>
        <w:t>1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), може перетворитися в стабільний кінцевий продукт.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В більшості випадків хімічне рівняння показує тільки кількісне співвідношення реагуючих речовин. Тільки хімічне рівняння елементарних процесів дає уявлення про механізм процесу та про кількісні співвідношення реагентів і продуктів.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Послідовні реакції – реакції виду А → В → С, де речовина А є вихідною, речовина </w:t>
      </w:r>
      <w:r w:rsidR="00281A2E">
        <w:rPr>
          <w:rFonts w:ascii="Arial" w:hAnsi="Arial" w:cs="Arial"/>
          <w:color w:val="000000" w:themeColor="text1"/>
          <w:sz w:val="24"/>
          <w:szCs w:val="24"/>
          <w:lang w:val="uk-UA"/>
        </w:rPr>
        <w:br/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С – продуктом, а речовина В – проміжною (відіграють одночасно роль і продуктів і реагентів для відповідних окремих стадій).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15E261A" wp14:editId="63E85B9B">
                <wp:simplePos x="0" y="0"/>
                <wp:positionH relativeFrom="column">
                  <wp:posOffset>-66947</wp:posOffset>
                </wp:positionH>
                <wp:positionV relativeFrom="paragraph">
                  <wp:posOffset>909906</wp:posOffset>
                </wp:positionV>
                <wp:extent cx="5332021" cy="1650670"/>
                <wp:effectExtent l="0" t="0" r="21590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2021" cy="1650670"/>
                          <a:chOff x="1881" y="12784"/>
                          <a:chExt cx="9244" cy="3325"/>
                        </a:xfrm>
                      </wpg:grpSpPr>
                      <wpg:graphicFrame>
                        <wpg:cNvPr id="10" name="Object 24"/>
                        <wpg:cNvFrPr>
                          <a:graphicFrameLocks noChangeAspect="1"/>
                        </wpg:cNvFrPr>
                        <wpg:xfrm>
                          <a:off x="1881" y="12784"/>
                          <a:ext cx="4738" cy="327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7"/>
                          </a:graphicData>
                        </a:graphic>
                      </wpg:graphicFrame>
                      <wpg:graphicFrame>
                        <wpg:cNvPr id="11" name="Object 25"/>
                        <wpg:cNvFrPr>
                          <a:graphicFrameLocks noChangeAspect="1"/>
                        </wpg:cNvFrPr>
                        <wpg:xfrm>
                          <a:off x="6389" y="12840"/>
                          <a:ext cx="4736" cy="3269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8"/>
                          </a:graphicData>
                        </a:graphic>
                      </wpg:graphicFrame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-5.25pt;margin-top:71.65pt;width:419.85pt;height:129.95pt;z-index:251674624" coordorigin="1881,12784" coordsize="9244,3325" o:gfxdata="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">
                <v:shape id="Object 24" o:spid="_x0000_s1027" type="#_x0000_t75" style="position:absolute;left:2124;top:13128;width:4227;height:267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FLML&#10;DcIAAADbAAAADwAAAGRycy9kb3ducmV2LnhtbESPQWvDMAyF74P9B6PBbqvTMkZJ45RR2Mip0LS9&#10;i1iNw2I5xG6a7tdPh8JuEu/pvU/Fdva9mmiMXWADy0UGirgJtuPWwOn49bYGFROyxT4wGbhThG35&#10;/FRgbsONDzTVqVUSwjFHAy6lIdc6No48xkUYiEW7hNFjknVstR3xJuG+16ss+9AeO5YGhwPtHDU/&#10;9dUbqOI57JPb19/ueLr8nqf39XStjHl9mT83oBLN6d/8uK6s4Au9/CID6PIP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FLMLDcIAAADbAAAADwAAAAAAAAAAAAAAAACbAgAAZHJzL2Rv&#10;d25yZXYueG1sUEsFBgAAAAAEAAQA8wAAAIoDAAAAAA==&#10;">
                  <v:imagedata r:id="rId59" o:title=""/>
                </v:shape>
                <v:shape id="Object 25" o:spid="_x0000_s1028" type="#_x0000_t75" style="position:absolute;left:6626;top:12870;width:4470;height:3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TZZv&#10;IcEAAADbAAAADwAAAGRycy9kb3ducmV2LnhtbERPS4vCMBC+C/6HMMLeNFXYpVSjqOADdhF8HDwO&#10;zdgWm0ltYq376zcLgrf5+J4zmbWmFA3VrrCsYDiIQBCnVhecKTgdV/0YhPPIGkvLpOBJDmbTbmeC&#10;ibYP3lNz8JkIIewSVJB7XyVSujQng25gK+LAXWxt0AdYZ1LX+AjhppSjKPqSBgsODTlWtMwpvR7u&#10;RkETbxbf9PPZ8O5q1+Xq9+xusVXqo9fOxyA8tf4tfrm3Oswfwv8v4QA5/QM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BNlm8hwQAAANsAAAAPAAAAAAAAAAAAAAAAAJsCAABkcnMvZG93&#10;bnJldi54bWxQSwUGAAAAAAQABADzAAAAiQMAAAAA&#10;">
                  <v:imagedata r:id="rId60" o:title=""/>
                </v:shape>
              </v:group>
              <o:OLEObject Type="Embed" ProgID="Excel.Chart.8" ShapeID="Object 24" DrawAspect="Content" ObjectID="_1679854370" r:id="rId61">
                <o:FieldCodes>\s</o:FieldCodes>
              </o:OLEObject>
              <o:OLEObject Type="Embed" ProgID="Excel.Chart.8" ShapeID="Object 25" DrawAspect="Content" ObjectID="_1679854371" r:id="rId62">
                <o:FieldCodes>\s</o:FieldCodes>
              </o:OLEObject>
            </w:pict>
          </mc:Fallback>
        </mc:AlternateConten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Найбільш важлива особливість послідовних реакцій полягає в тому, що, якщо </w:t>
      </w:r>
      <w:r w:rsidRPr="00DB71C0">
        <w:rPr>
          <w:rFonts w:ascii="Arial" w:hAnsi="Arial" w:cs="Arial"/>
          <w:i/>
          <w:color w:val="000000" w:themeColor="text1"/>
          <w:sz w:val="24"/>
          <w:szCs w:val="24"/>
          <w:lang w:val="uk-UA"/>
        </w:rPr>
        <w:t>одна з стадій володіє значно  меншою швидкістю, ніж останні, то загальна швидкість реакції утворення кінцевого продукту визначається швидкістю цієї стадії.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Отож, стадією, що визначає процес, буде  та, яка має більш в</w:t>
      </w:r>
      <w:r w:rsidR="00281A2E">
        <w:rPr>
          <w:rFonts w:ascii="Arial" w:hAnsi="Arial" w:cs="Arial"/>
          <w:color w:val="000000" w:themeColor="text1"/>
          <w:sz w:val="24"/>
          <w:szCs w:val="24"/>
          <w:lang w:val="uk-UA"/>
        </w:rPr>
        <w:t>исоку енергію активації  (мал.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3). Наприклад: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281A2E">
      <w:pPr>
        <w:spacing w:before="120" w:after="12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Мал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. 2.3. Діаграма послідовних реакцій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У  першому  випадку  це  реакція  1  (А → В),  у другому – реакція 2 (В → С).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lastRenderedPageBreak/>
        <w:t>Експериментальне визначення механізму хімічного процесу та уявлення його у вигляді окремих стадій має велике практичне значення для підбору каталізаторів. Через специфічну дію, каталізатор слід підбирати тільки для самої повільної стадії, але не для всієї реакції в цілому.</w:t>
      </w:r>
      <w:r w:rsidR="00281A2E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DB71C0">
        <w:rPr>
          <w:rFonts w:ascii="Arial" w:hAnsi="Arial" w:cs="Arial"/>
          <w:color w:val="7030A0"/>
          <w:sz w:val="24"/>
          <w:szCs w:val="24"/>
          <w:lang w:val="uk-UA"/>
        </w:rPr>
        <w:t>Паралельними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називаються </w:t>
      </w:r>
      <w:r w:rsidRPr="00DB71C0">
        <w:rPr>
          <w:rFonts w:ascii="Arial" w:hAnsi="Arial" w:cs="Arial"/>
          <w:color w:val="7030A0"/>
          <w:sz w:val="24"/>
          <w:szCs w:val="24"/>
          <w:lang w:val="uk-UA"/>
        </w:rPr>
        <w:t>реакції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, які йдуть одночасно по декількох напрямкам з утворенням різних продуктів. Якщо реакції розрізняються по швидкості, то реакцію, що володіє більшою швидкістю, називають </w:t>
      </w:r>
      <w:r w:rsidRPr="00DB71C0">
        <w:rPr>
          <w:rFonts w:ascii="Arial" w:hAnsi="Arial" w:cs="Arial"/>
          <w:color w:val="7030A0"/>
          <w:sz w:val="24"/>
          <w:szCs w:val="24"/>
          <w:lang w:val="uk-UA"/>
        </w:rPr>
        <w:t>основною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(головною), а останні </w:t>
      </w:r>
      <w:r w:rsidRPr="00DB71C0">
        <w:rPr>
          <w:rFonts w:ascii="Arial" w:hAnsi="Arial" w:cs="Arial"/>
          <w:color w:val="7030A0"/>
          <w:sz w:val="24"/>
          <w:szCs w:val="24"/>
          <w:lang w:val="uk-UA"/>
        </w:rPr>
        <w:t>побічними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.  Основна реакція, яка є найбільш швидкою, має саме низьке, при даних умовах, значення енергії активації.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Найбільш простий випадок двох паралельних мономолекулярних реакцій: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40F30EF" wp14:editId="35D522AE">
                <wp:simplePos x="0" y="0"/>
                <wp:positionH relativeFrom="column">
                  <wp:posOffset>2640330</wp:posOffset>
                </wp:positionH>
                <wp:positionV relativeFrom="paragraph">
                  <wp:posOffset>95250</wp:posOffset>
                </wp:positionV>
                <wp:extent cx="400050" cy="176530"/>
                <wp:effectExtent l="5080" t="58420" r="33020" b="1270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" cy="176530"/>
                        </a:xfrm>
                        <a:custGeom>
                          <a:avLst/>
                          <a:gdLst>
                            <a:gd name="T0" fmla="*/ 0 w 630"/>
                            <a:gd name="T1" fmla="*/ 278 h 278"/>
                            <a:gd name="T2" fmla="*/ 630 w 630"/>
                            <a:gd name="T3" fmla="*/ 0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0" h="278">
                              <a:moveTo>
                                <a:pt x="0" y="278"/>
                              </a:moveTo>
                              <a:lnTo>
                                <a:pt x="6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.9pt,21.4pt,239.4pt,7.5pt" coordsize="630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" o:allowincell="f" filled="f">
                <v:stroke endarrow="block"/>
                <v:path arrowok="t" o:connecttype="custom" o:connectlocs="0,176530;400050,0" o:connectangles="0,0"/>
              </v:polyline>
            </w:pict>
          </mc:Fallback>
        </mc:AlternateContent>
      </w:r>
      <w:r w:rsidR="00281A2E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                                                                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В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CA04F97" wp14:editId="3D1A40A7">
                <wp:simplePos x="0" y="0"/>
                <wp:positionH relativeFrom="column">
                  <wp:posOffset>2635250</wp:posOffset>
                </wp:positionH>
                <wp:positionV relativeFrom="paragraph">
                  <wp:posOffset>101600</wp:posOffset>
                </wp:positionV>
                <wp:extent cx="390525" cy="161925"/>
                <wp:effectExtent l="9525" t="11430" r="38100" b="5524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525" cy="161925"/>
                        </a:xfrm>
                        <a:custGeom>
                          <a:avLst/>
                          <a:gdLst>
                            <a:gd name="T0" fmla="*/ 0 w 615"/>
                            <a:gd name="T1" fmla="*/ 0 h 255"/>
                            <a:gd name="T2" fmla="*/ 615 w 615"/>
                            <a:gd name="T3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5" h="255">
                              <a:moveTo>
                                <a:pt x="0" y="0"/>
                              </a:moveTo>
                              <a:lnTo>
                                <a:pt x="615" y="25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.5pt,8pt,238.25pt,20.75pt" coordsize="61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" o:allowincell="f" filled="f">
                <v:stroke endarrow="block"/>
                <v:path arrowok="t" o:connecttype="custom" o:connectlocs="0,0;390525,161925" o:connectangles="0,0"/>
              </v:polyline>
            </w:pict>
          </mc:Fallback>
        </mc:AlternateContent>
      </w:r>
      <w:r w:rsidR="00281A2E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                                                  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</w:t>
      </w:r>
    </w:p>
    <w:p w:rsidR="00F80443" w:rsidRPr="00F80443" w:rsidRDefault="00281A2E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                                                                </w: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С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Від енергії активації залежить проходження реакції по тому чи іншому шляху: здійснюється стадія, що має більш низьке значення енергії активації (А → С</w:t>
      </w:r>
      <w:r w:rsidR="00281A2E">
        <w:rPr>
          <w:rFonts w:ascii="Arial" w:hAnsi="Arial" w:cs="Arial"/>
          <w:color w:val="000000" w:themeColor="text1"/>
          <w:sz w:val="24"/>
          <w:szCs w:val="24"/>
          <w:lang w:val="uk-UA"/>
        </w:rPr>
        <w:t>) (</w:t>
      </w:r>
      <w:proofErr w:type="spellStart"/>
      <w:r w:rsidR="00281A2E">
        <w:rPr>
          <w:rFonts w:ascii="Arial" w:hAnsi="Arial" w:cs="Arial"/>
          <w:color w:val="000000" w:themeColor="text1"/>
          <w:sz w:val="24"/>
          <w:szCs w:val="24"/>
          <w:lang w:val="uk-UA"/>
        </w:rPr>
        <w:t>мал</w:t>
      </w:r>
      <w:proofErr w:type="spellEnd"/>
      <w:r w:rsidR="00281A2E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. 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4).</w:t>
      </w:r>
    </w:p>
    <w:p w:rsidR="00F80443" w:rsidRPr="00F80443" w:rsidRDefault="00DB71C0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 w:eastAsia="ru-RU"/>
        </w:rPr>
        <w:drawing>
          <wp:anchor distT="0" distB="0" distL="114300" distR="114300" simplePos="0" relativeHeight="251677696" behindDoc="0" locked="0" layoutInCell="1" allowOverlap="1" wp14:anchorId="01CB5F3B" wp14:editId="7210F8DB">
            <wp:simplePos x="0" y="0"/>
            <wp:positionH relativeFrom="column">
              <wp:posOffset>693074</wp:posOffset>
            </wp:positionH>
            <wp:positionV relativeFrom="paragraph">
              <wp:posOffset>39147</wp:posOffset>
            </wp:positionV>
            <wp:extent cx="3491345" cy="2182091"/>
            <wp:effectExtent l="0" t="0" r="13970" b="0"/>
            <wp:wrapNone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DB71C0" w:rsidP="00DB71C0">
      <w:pPr>
        <w:spacing w:before="120" w:after="12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uk-UA"/>
        </w:rPr>
        <w:t>Мал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. </w: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4. Діаграма паралельних реакцій (∆H</w: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vertAlign w:val="subscript"/>
          <w:lang w:val="uk-UA"/>
        </w:rPr>
        <w:t>C</w: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&gt;∆H</w: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vertAlign w:val="subscript"/>
          <w:lang w:val="uk-UA"/>
        </w:rPr>
        <w:t>B</w: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)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Якщо при даних умовах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термодинамічно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можливі два або більше напрямків реакцій, то перевага того чи іншого напрямку і кількість продуктів, що одержуються по різним напрямкам реакцій, визначаються співвідношенням швидкостей (та енергій активації) цих реакцій, а не співвідношенням термодинамічної стійкості продуктів реакції.</w:t>
      </w:r>
    </w:p>
    <w:p w:rsidR="00F80443" w:rsidRPr="00F80443" w:rsidRDefault="00DB71C0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 w:eastAsia="ru-RU"/>
        </w:rPr>
        <w:drawing>
          <wp:anchor distT="0" distB="0" distL="114300" distR="114300" simplePos="0" relativeHeight="251726848" behindDoc="0" locked="0" layoutInCell="1" allowOverlap="1" wp14:anchorId="43DC4263" wp14:editId="73EB9E30">
            <wp:simplePos x="0" y="0"/>
            <wp:positionH relativeFrom="column">
              <wp:posOffset>1120585</wp:posOffset>
            </wp:positionH>
            <wp:positionV relativeFrom="paragraph">
              <wp:posOffset>535536</wp:posOffset>
            </wp:positionV>
            <wp:extent cx="2707574" cy="1699434"/>
            <wp:effectExtent l="0" t="0" r="0" b="0"/>
            <wp:wrapNone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Якщо енергія активації </w:t>
      </w:r>
      <w:proofErr w:type="spellStart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Е</w: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vertAlign w:val="subscript"/>
          <w:lang w:val="uk-UA"/>
        </w:rPr>
        <w:t>аАС</w:t>
      </w:r>
      <w:proofErr w:type="spellEnd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&lt;</w:t>
      </w:r>
      <w:proofErr w:type="spellStart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Е</w: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vertAlign w:val="subscript"/>
          <w:lang w:val="uk-UA"/>
        </w:rPr>
        <w:t>аАВ</w:t>
      </w:r>
      <w:proofErr w:type="spellEnd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, то як продукт реакції одержується практично чиста речовина С. Однак, речовина С, володіючи більшим запасом енергії, ніж В, нестійка, то є можливість перетворення її в речовину В, більш</w:t>
      </w:r>
      <w:r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стійку при даних умовах (мал.</w: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5).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DB71C0" w:rsidRDefault="00DB71C0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DB71C0" w:rsidP="00DB71C0">
      <w:pPr>
        <w:spacing w:before="120" w:after="12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uk-UA"/>
        </w:rPr>
        <w:t>Мал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. </w: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5. Діаграма паралельних реакцій (∆Н</w: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vertAlign w:val="subscript"/>
          <w:lang w:val="uk-UA"/>
        </w:rPr>
        <w:t>С</w: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&lt;∆H</w: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vertAlign w:val="subscript"/>
          <w:lang w:val="uk-UA"/>
        </w:rPr>
        <w:t>B</w: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)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lastRenderedPageBreak/>
        <w:t xml:space="preserve">Введення </w:t>
      </w:r>
      <w:r w:rsidRPr="00DB71C0">
        <w:rPr>
          <w:rFonts w:ascii="Arial" w:hAnsi="Arial" w:cs="Arial"/>
          <w:color w:val="7030A0"/>
          <w:sz w:val="24"/>
          <w:szCs w:val="24"/>
          <w:lang w:val="uk-UA"/>
        </w:rPr>
        <w:t>каталізатора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в реакційну суміш прискорює пряму й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зворотню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реакції одного (або декількох) з  багатьох можливих паралельних шляхів, причому це зовсім необов’язково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термодинамічно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самий вигідний шлях. Каталізатор К і речовина А, що реагує, утворюють проміжну сполуку АК, яка реагує з іншою вихідною речовиною В (або просто розкладається) з утворенням продуктів реакції АВ та вихідного каталізатора К </w:t>
      </w:r>
      <w:r w:rsidR="00DB71C0">
        <w:rPr>
          <w:rFonts w:ascii="Arial" w:hAnsi="Arial" w:cs="Arial"/>
          <w:color w:val="000000" w:themeColor="text1"/>
          <w:sz w:val="24"/>
          <w:szCs w:val="24"/>
          <w:lang w:val="uk-UA"/>
        </w:rPr>
        <w:t>(мал.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6):</w:t>
      </w:r>
    </w:p>
    <w:p w:rsidR="00F80443" w:rsidRPr="00F80443" w:rsidRDefault="00F80443" w:rsidP="00DB71C0">
      <w:pPr>
        <w:spacing w:before="120" w:after="12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 + К → АК</w:t>
      </w:r>
    </w:p>
    <w:p w:rsidR="00F80443" w:rsidRPr="00F80443" w:rsidRDefault="00DB71C0" w:rsidP="00DB71C0">
      <w:pPr>
        <w:spacing w:before="120" w:after="120" w:line="240" w:lineRule="auto"/>
        <w:jc w:val="center"/>
        <w:rPr>
          <w:rFonts w:ascii="Arial" w:hAnsi="Arial" w:cs="Arial"/>
          <w:i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 w:eastAsia="ru-RU"/>
        </w:rPr>
        <w:drawing>
          <wp:anchor distT="0" distB="0" distL="114300" distR="114300" simplePos="0" relativeHeight="251679744" behindDoc="0" locked="0" layoutInCell="1" allowOverlap="1" wp14:anchorId="7CA03F3F" wp14:editId="2AA75D4F">
            <wp:simplePos x="0" y="0"/>
            <wp:positionH relativeFrom="column">
              <wp:posOffset>452755</wp:posOffset>
            </wp:positionH>
            <wp:positionV relativeFrom="paragraph">
              <wp:posOffset>192405</wp:posOffset>
            </wp:positionV>
            <wp:extent cx="3730625" cy="2339340"/>
            <wp:effectExtent l="0" t="0" r="3175" b="0"/>
            <wp:wrapNone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В + АК → ВАК → АВ + К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DB71C0" w:rsidP="00DB71C0">
      <w:pPr>
        <w:spacing w:before="120" w:after="12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uk-UA"/>
        </w:rPr>
        <w:t>Мал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. </w: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6. Діаграма реакції за участю каталізатора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В даному прикладі можливі два паралельних шляхи: І – некаталітичний, що проходить через високий енергетичний бар’єр, та ІІ – зі значно меншою енергією активації завдяки дії каталізатора. Шлях І та ІІ – паралельні, але шлях ІІ складається з трьох проміжних стадій з невисокими енергіями активації. Незважаючи на енергетичну рівноцінність обох шляхів, реакція проходить по другому шляху, який більш швидкий.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Таким чином, при розгляді механізмів реакцій необхідно враховувати те, що реакція  протікає через стадію проміжної частинки або перехідного стану.</w:t>
      </w:r>
    </w:p>
    <w:p w:rsidR="00DB71C0" w:rsidRDefault="00DB71C0">
      <w:pPr>
        <w:rPr>
          <w:rFonts w:ascii="Arial" w:eastAsiaTheme="majorEastAsia" w:hAnsi="Arial" w:cs="Arial"/>
          <w:bCs/>
          <w:color w:val="000000" w:themeColor="text1"/>
          <w:sz w:val="24"/>
          <w:szCs w:val="24"/>
          <w:lang w:val="uk-UA"/>
        </w:rPr>
      </w:pPr>
      <w:bookmarkStart w:id="8" w:name="_Toc524312385"/>
      <w:r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br w:type="page"/>
      </w:r>
    </w:p>
    <w:p w:rsidR="00F80443" w:rsidRPr="00DB71C0" w:rsidRDefault="00F80443" w:rsidP="00DB71C0">
      <w:pPr>
        <w:pStyle w:val="2"/>
        <w:shd w:val="clear" w:color="auto" w:fill="E5B8B7" w:themeFill="accent2" w:themeFillTint="66"/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bookmarkStart w:id="9" w:name="_Toc524312386"/>
      <w:bookmarkEnd w:id="8"/>
      <w:r w:rsidRPr="00DB71C0">
        <w:rPr>
          <w:rFonts w:ascii="Arial" w:hAnsi="Arial" w:cs="Arial"/>
          <w:color w:val="000000" w:themeColor="text1"/>
          <w:sz w:val="24"/>
          <w:szCs w:val="24"/>
          <w:lang w:val="uk-UA"/>
        </w:rPr>
        <w:lastRenderedPageBreak/>
        <w:t>3. Фактори, що впливають на стійкість перехідного стану чи проміжної частинки</w:t>
      </w:r>
      <w:bookmarkEnd w:id="9"/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Детальне описання хімічної реакції по стадіям називається механізмом реакції. </w:t>
      </w:r>
      <w:r w:rsidR="00DB71C0">
        <w:rPr>
          <w:rFonts w:ascii="Arial" w:hAnsi="Arial" w:cs="Arial"/>
          <w:color w:val="000000" w:themeColor="text1"/>
          <w:sz w:val="24"/>
          <w:szCs w:val="24"/>
          <w:lang w:val="uk-UA"/>
        </w:rPr>
        <w:br/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Це тільки теорія, і вона пропонується для пояснення фактів.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Вивчити механізм реакції – означає встановити, якими шляхами з вихідних речовин утворюється кінцевий  продукт. Необхідно виявити, що з чим реагує, в яких пропорціях, в який послідовності, які елементарні акти, проміжні частинки чи перехідні стани. Чим більш досконально вивчена реакція, тим більше можливостей її контролювати.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Будь-який фактор, який стабілізує перехідний стан або проміжну частинку в порівнянні з вихідними речовинами, намагається знизити енергію активації, тобто </w:t>
      </w:r>
      <w:r w:rsidRPr="00586CA6">
        <w:rPr>
          <w:rFonts w:ascii="Arial" w:hAnsi="Arial" w:cs="Arial"/>
          <w:i/>
          <w:color w:val="000000" w:themeColor="text1"/>
          <w:sz w:val="24"/>
          <w:szCs w:val="24"/>
          <w:lang w:val="uk-UA"/>
        </w:rPr>
        <w:t>будь-який фактор, що зменшує величину енергетичного бар’єру більше, ніж потенціальну енергію вихідних речовин, знижує загальний бар’єр, який необхідно подолати в ході реакції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. Стійкість перехідного стану або проміжної частинки є основою виявлення напрямку реакції.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586CA6">
        <w:rPr>
          <w:rFonts w:ascii="Arial" w:hAnsi="Arial" w:cs="Arial"/>
          <w:b/>
          <w:i/>
          <w:color w:val="000000" w:themeColor="text1"/>
          <w:sz w:val="24"/>
          <w:szCs w:val="24"/>
          <w:lang w:val="uk-UA"/>
        </w:rPr>
        <w:t xml:space="preserve">Найбільш </w:t>
      </w:r>
      <w:proofErr w:type="spellStart"/>
      <w:r w:rsidRPr="00586CA6">
        <w:rPr>
          <w:rFonts w:ascii="Arial" w:hAnsi="Arial" w:cs="Arial"/>
          <w:b/>
          <w:i/>
          <w:color w:val="000000" w:themeColor="text1"/>
          <w:sz w:val="24"/>
          <w:szCs w:val="24"/>
          <w:lang w:val="uk-UA"/>
        </w:rPr>
        <w:t>реакційноздатною</w:t>
      </w:r>
      <w:proofErr w:type="spellEnd"/>
      <w:r w:rsidRPr="00586CA6">
        <w:rPr>
          <w:rFonts w:ascii="Arial" w:hAnsi="Arial" w:cs="Arial"/>
          <w:b/>
          <w:i/>
          <w:color w:val="000000" w:themeColor="text1"/>
          <w:sz w:val="24"/>
          <w:szCs w:val="24"/>
          <w:lang w:val="uk-UA"/>
        </w:rPr>
        <w:t xml:space="preserve"> сполукою є та, яка утворює більш стійку проміжну частинку або перехідний стан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. Чим більше компенсується позитивний заряд (електронний дефіцит) на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карбкатіоні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, або чим більше буде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делокалізований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негативний заряд в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карбаніоні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чи неспарений електрон в радикалі, тим більш стійкою буде ця частинка, і вона буде легше утворюватися, тим більша ймовірність того, що ця реакція буде відбуватися в напрямку утворення цієї частинки.</w:t>
      </w:r>
    </w:p>
    <w:p w:rsidR="00F80443" w:rsidRPr="00EF2833" w:rsidRDefault="00F80443" w:rsidP="00F80443">
      <w:pPr>
        <w:spacing w:before="120" w:after="12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  <w:r w:rsidRPr="00EF2833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Для оцінювання стійкості проміжної частинки необхідно:</w:t>
      </w:r>
    </w:p>
    <w:p w:rsidR="00F80443" w:rsidRPr="00F80443" w:rsidRDefault="00F80443" w:rsidP="00F80443">
      <w:pPr>
        <w:numPr>
          <w:ilvl w:val="0"/>
          <w:numId w:val="6"/>
        </w:numPr>
        <w:spacing w:before="120" w:after="120" w:line="24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Порівняти радіуси атомів, які несуть позитивний або негативний заряд в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йоні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чи неспарений електрон в радикалі (здатність атомів до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поляризовності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).</w:t>
      </w:r>
    </w:p>
    <w:p w:rsidR="00F80443" w:rsidRPr="00F80443" w:rsidRDefault="00F80443" w:rsidP="00F80443">
      <w:pPr>
        <w:numPr>
          <w:ilvl w:val="0"/>
          <w:numId w:val="6"/>
        </w:numPr>
        <w:spacing w:before="120" w:after="120" w:line="24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Якщо радіуси атомів однакові, то порівняти вплив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мезомерного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ефекту.</w:t>
      </w:r>
    </w:p>
    <w:p w:rsidR="00F80443" w:rsidRPr="00F80443" w:rsidRDefault="00F80443" w:rsidP="00F80443">
      <w:pPr>
        <w:numPr>
          <w:ilvl w:val="0"/>
          <w:numId w:val="6"/>
        </w:numPr>
        <w:spacing w:before="120" w:after="120" w:line="24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Якщо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мезомерний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ефект відсутній (або вплив його однаковий), то порівняти вплив індукційного ефекту.</w:t>
      </w:r>
    </w:p>
    <w:p w:rsidR="00F80443" w:rsidRPr="00F80443" w:rsidRDefault="00F80443" w:rsidP="00F80443">
      <w:pPr>
        <w:numPr>
          <w:ilvl w:val="0"/>
          <w:numId w:val="6"/>
        </w:numPr>
        <w:spacing w:before="120" w:after="120" w:line="24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Якщо за допомогою ні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мезомерного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, ні індукційного ефектів неможливо вказати стійкість проміжної частинки, то необхідно порівняти вплив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гіперкон’югації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За таким планом можна розглядати стійкість проміжної частинки і встановлювати напрямок проходження реакції.</w:t>
      </w:r>
    </w:p>
    <w:p w:rsidR="00F80443" w:rsidRPr="00EF2833" w:rsidRDefault="00EF2833" w:rsidP="00EF2833">
      <w:pPr>
        <w:pStyle w:val="2"/>
        <w:shd w:val="clear" w:color="auto" w:fill="E5B8B7" w:themeFill="accent2" w:themeFillTint="66"/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bookmarkStart w:id="10" w:name="_Toc524312387"/>
      <w:r w:rsidRPr="00EF2833">
        <w:rPr>
          <w:rFonts w:ascii="Arial" w:hAnsi="Arial" w:cs="Arial"/>
          <w:color w:val="000000" w:themeColor="text1"/>
          <w:sz w:val="24"/>
          <w:szCs w:val="24"/>
          <w:lang w:val="uk-UA"/>
        </w:rPr>
        <w:t>4</w:t>
      </w:r>
      <w:r w:rsidR="00F80443" w:rsidRPr="00EF2833">
        <w:rPr>
          <w:rFonts w:ascii="Arial" w:hAnsi="Arial" w:cs="Arial"/>
          <w:color w:val="000000" w:themeColor="text1"/>
          <w:sz w:val="24"/>
          <w:szCs w:val="24"/>
          <w:lang w:val="uk-UA"/>
        </w:rPr>
        <w:t>. Кислотно-основні властивості деяких органічних сполук</w:t>
      </w:r>
      <w:bookmarkEnd w:id="10"/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EF2833">
        <w:rPr>
          <w:rFonts w:ascii="Arial" w:hAnsi="Arial" w:cs="Arial"/>
          <w:b/>
          <w:color w:val="7030A0"/>
          <w:sz w:val="24"/>
          <w:szCs w:val="24"/>
          <w:lang w:val="uk-UA"/>
        </w:rPr>
        <w:t xml:space="preserve">По </w:t>
      </w:r>
      <w:proofErr w:type="spellStart"/>
      <w:r w:rsidRPr="00EF2833">
        <w:rPr>
          <w:rFonts w:ascii="Arial" w:hAnsi="Arial" w:cs="Arial"/>
          <w:b/>
          <w:color w:val="7030A0"/>
          <w:sz w:val="24"/>
          <w:szCs w:val="24"/>
          <w:lang w:val="uk-UA"/>
        </w:rPr>
        <w:t>Бренстеду-Лоурі</w:t>
      </w:r>
      <w:proofErr w:type="spellEnd"/>
      <w:r w:rsidRPr="00EF2833">
        <w:rPr>
          <w:rFonts w:ascii="Arial" w:hAnsi="Arial" w:cs="Arial"/>
          <w:b/>
          <w:color w:val="7030A0"/>
          <w:sz w:val="24"/>
          <w:szCs w:val="24"/>
          <w:lang w:val="uk-UA"/>
        </w:rPr>
        <w:t>, кислоти</w:t>
      </w:r>
      <w:r w:rsidRPr="00EF2833">
        <w:rPr>
          <w:rFonts w:ascii="Arial" w:hAnsi="Arial" w:cs="Arial"/>
          <w:color w:val="7030A0"/>
          <w:sz w:val="24"/>
          <w:szCs w:val="24"/>
          <w:lang w:val="uk-UA"/>
        </w:rPr>
        <w:t xml:space="preserve"> 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– це речовини, які здатні поставляти протони, а </w:t>
      </w:r>
      <w:r w:rsidRPr="00EF2833">
        <w:rPr>
          <w:rFonts w:ascii="Arial" w:hAnsi="Arial" w:cs="Arial"/>
          <w:b/>
          <w:color w:val="7030A0"/>
          <w:sz w:val="24"/>
          <w:szCs w:val="24"/>
          <w:lang w:val="uk-UA"/>
        </w:rPr>
        <w:t>основи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– речовини, які здатні приймати протони: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101" type="#_x0000_t75" style="position:absolute;left:0;text-align:left;margin-left:145.55pt;margin-top:5.25pt;width:179pt;height:70pt;z-index:251727872">
            <v:imagedata r:id="rId66" o:title=""/>
          </v:shape>
          <o:OLEObject Type="Embed" ProgID="ChemDraw.Document.6.0" ShapeID="_x0000_s1101" DrawAspect="Content" ObjectID="_1679854305" r:id="rId67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EF2833" w:rsidRDefault="00EF283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Таким чином, кислота і основа взаємозв’язані процесами приєднання і відщеплення протона: структура А–Н чи 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perscript"/>
          <w:lang w:val="uk-UA"/>
        </w:rPr>
        <w:t>+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В–Н є спряженою кислотою основи А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perscript"/>
          <w:lang w:val="uk-UA"/>
        </w:rPr>
        <w:t>–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чи В. Заряди кислоти і основи не мають значення, наприклад, NH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bscript"/>
          <w:lang w:val="uk-UA"/>
        </w:rPr>
        <w:t>4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perscript"/>
          <w:lang w:val="uk-UA"/>
        </w:rPr>
        <w:t>+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є кислотою.</w:t>
      </w:r>
    </w:p>
    <w:p w:rsidR="00F80443" w:rsidRPr="00F80443" w:rsidRDefault="00F80443" w:rsidP="00F80443">
      <w:pPr>
        <w:pStyle w:val="ad"/>
        <w:spacing w:before="12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lastRenderedPageBreak/>
        <w:t>Такі відношення між кислотою і основою зумовлюють важливу закономірність: високій кислотності кислоти відповідає низька основність відповідної спряженої їй основи і навпаки.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EF2833">
        <w:rPr>
          <w:rFonts w:ascii="Arial" w:hAnsi="Arial" w:cs="Arial"/>
          <w:b/>
          <w:noProof/>
          <w:color w:val="7030A0"/>
          <w:sz w:val="24"/>
          <w:szCs w:val="24"/>
          <w:lang w:val="uk-UA"/>
        </w:rPr>
        <w:pict>
          <v:shape id="_x0000_s1055" type="#_x0000_t75" style="position:absolute;left:0;text-align:left;margin-left:138.8pt;margin-top:30.6pt;width:147.8pt;height:22.8pt;z-index:251680768">
            <v:imagedata r:id="rId68" o:title=""/>
          </v:shape>
          <o:OLEObject Type="Embed" ProgID="ChemDraw.Document.6.0" ShapeID="_x0000_s1055" DrawAspect="Content" ObjectID="_1679854306" r:id="rId69"/>
        </w:pict>
      </w:r>
      <w:r w:rsidRPr="00EF2833">
        <w:rPr>
          <w:rFonts w:ascii="Arial" w:hAnsi="Arial" w:cs="Arial"/>
          <w:b/>
          <w:color w:val="7030A0"/>
          <w:sz w:val="24"/>
          <w:szCs w:val="24"/>
          <w:lang w:val="uk-UA"/>
        </w:rPr>
        <w:t xml:space="preserve">По </w:t>
      </w:r>
      <w:proofErr w:type="spellStart"/>
      <w:r w:rsidRPr="00EF2833">
        <w:rPr>
          <w:rFonts w:ascii="Arial" w:hAnsi="Arial" w:cs="Arial"/>
          <w:b/>
          <w:color w:val="7030A0"/>
          <w:sz w:val="24"/>
          <w:szCs w:val="24"/>
          <w:lang w:val="uk-UA"/>
        </w:rPr>
        <w:t>Л’юісу</w:t>
      </w:r>
      <w:proofErr w:type="spellEnd"/>
      <w:r w:rsidRPr="00EF2833">
        <w:rPr>
          <w:rFonts w:ascii="Arial" w:hAnsi="Arial" w:cs="Arial"/>
          <w:b/>
          <w:color w:val="7030A0"/>
          <w:sz w:val="24"/>
          <w:szCs w:val="24"/>
          <w:lang w:val="uk-UA"/>
        </w:rPr>
        <w:t xml:space="preserve"> кислотами</w:t>
      </w:r>
      <w:r w:rsidRPr="00EF2833">
        <w:rPr>
          <w:rFonts w:ascii="Arial" w:hAnsi="Arial" w:cs="Arial"/>
          <w:color w:val="7030A0"/>
          <w:sz w:val="24"/>
          <w:szCs w:val="24"/>
          <w:lang w:val="uk-UA"/>
        </w:rPr>
        <w:t xml:space="preserve"> 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є сполуки з нестачею електронів, </w:t>
      </w:r>
      <w:r w:rsidRPr="00EF2833">
        <w:rPr>
          <w:rFonts w:ascii="Arial" w:hAnsi="Arial" w:cs="Arial"/>
          <w:b/>
          <w:color w:val="7030A0"/>
          <w:sz w:val="24"/>
          <w:szCs w:val="24"/>
          <w:lang w:val="uk-UA"/>
        </w:rPr>
        <w:t>основами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– сполуки з вільними електронними парами або подвійними зв’язками: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pStyle w:val="ad"/>
        <w:spacing w:before="12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Кислотність і основність є відносними властивостями, які виявляються тільки у присутності компонентів кислотно-основної взаємодії: сполуки потенційно здатні бути кислотою, будуть такими тільки у присутності основи, і навпаки. Газоподібний гідроген хлорид не є кислотою: він стає кислотою тільки у присутності акцептора протонів, тобто основи, наприклад, води.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EF2833">
        <w:rPr>
          <w:rFonts w:ascii="Arial" w:hAnsi="Arial" w:cs="Arial"/>
          <w:i/>
          <w:color w:val="000000" w:themeColor="text1"/>
          <w:sz w:val="24"/>
          <w:szCs w:val="24"/>
          <w:lang w:val="uk-UA"/>
        </w:rPr>
        <w:t xml:space="preserve">Відповідно </w:t>
      </w:r>
      <w:proofErr w:type="spellStart"/>
      <w:r w:rsidRPr="00EF2833">
        <w:rPr>
          <w:rFonts w:ascii="Arial" w:hAnsi="Arial" w:cs="Arial"/>
          <w:i/>
          <w:color w:val="000000" w:themeColor="text1"/>
          <w:sz w:val="24"/>
          <w:szCs w:val="24"/>
          <w:lang w:val="uk-UA"/>
        </w:rPr>
        <w:t>Бренстеду-Лоурі</w:t>
      </w:r>
      <w:proofErr w:type="spellEnd"/>
      <w:r w:rsidRPr="00EF2833">
        <w:rPr>
          <w:rFonts w:ascii="Arial" w:hAnsi="Arial" w:cs="Arial"/>
          <w:i/>
          <w:color w:val="000000" w:themeColor="text1"/>
          <w:sz w:val="24"/>
          <w:szCs w:val="24"/>
          <w:lang w:val="uk-UA"/>
        </w:rPr>
        <w:t>, сила кислоти залежить від її прагнення віддати протон, а сила основи – від її прагнення зв’язати протон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Здатність сполуки АН до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йонізації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оцінюється константою кислотності (К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bscript"/>
          <w:lang w:val="uk-UA"/>
        </w:rPr>
        <w:t>а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) кислоти АН у воді: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102" type="#_x0000_t75" style="position:absolute;left:0;text-align:left;margin-left:145.55pt;margin-top:1.3pt;width:144.8pt;height:21.6pt;z-index:251728896">
            <v:imagedata r:id="rId70" o:title=""/>
          </v:shape>
          <o:OLEObject Type="Embed" ProgID="ChemDraw.Document.6.0" ShapeID="_x0000_s1102" DrawAspect="Content" ObjectID="_1679854307" r:id="rId71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EF2833">
      <w:pPr>
        <w:spacing w:before="120" w:after="12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position w:val="-28"/>
          <w:sz w:val="24"/>
          <w:szCs w:val="24"/>
          <w:lang w:val="uk-UA"/>
        </w:rPr>
        <w:object w:dxaOrig="2100" w:dyaOrig="700">
          <v:shape id="_x0000_i1037" type="#_x0000_t75" style="width:104.75pt;height:34.6pt" o:ole="" fillcolor="window">
            <v:imagedata r:id="rId72" o:title=""/>
          </v:shape>
          <o:OLEObject Type="Embed" ProgID="Equation.3" ShapeID="_x0000_i1037" DrawAspect="Content" ObjectID="_1679854289" r:id="rId73"/>
        </w:obje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Аналогічно відбувається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йонізація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органічних сполук у тому випадку, якщо як розчинник використовується сполука, яка є кислотою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Бренстеда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Константа основності В у воді у відповідності з рівнянням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103" type="#_x0000_t75" style="position:absolute;left:0;text-align:left;margin-left:147.8pt;margin-top:-.3pt;width:137.6pt;height:22pt;z-index:251729920">
            <v:imagedata r:id="rId74" o:title=""/>
          </v:shape>
          <o:OLEObject Type="Embed" ProgID="ChemDraw.Document.6.0" ShapeID="_x0000_s1103" DrawAspect="Content" ObjectID="_1679854308" r:id="rId75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визначається співвідношенням</w:t>
      </w:r>
    </w:p>
    <w:p w:rsidR="00F80443" w:rsidRPr="00F80443" w:rsidRDefault="00F80443" w:rsidP="00EF2833">
      <w:pPr>
        <w:spacing w:before="120" w:after="12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position w:val="-28"/>
          <w:sz w:val="24"/>
          <w:szCs w:val="24"/>
          <w:lang w:val="uk-UA"/>
        </w:rPr>
        <w:object w:dxaOrig="2220" w:dyaOrig="700">
          <v:shape id="_x0000_i1038" type="#_x0000_t75" style="width:111.25pt;height:34.6pt" o:ole="" fillcolor="window">
            <v:imagedata r:id="rId76" o:title=""/>
          </v:shape>
          <o:OLEObject Type="Embed" ProgID="Equation.3" ShapeID="_x0000_i1038" DrawAspect="Content" ObjectID="_1679854290" r:id="rId77"/>
        </w:obje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EF2833">
        <w:rPr>
          <w:rFonts w:ascii="Arial" w:hAnsi="Arial" w:cs="Arial"/>
          <w:i/>
          <w:color w:val="000000" w:themeColor="text1"/>
          <w:sz w:val="24"/>
          <w:szCs w:val="24"/>
          <w:lang w:val="uk-UA"/>
        </w:rPr>
        <w:t>Константа кислотності і основності є мірою сили кислоти і відповідно основи: чим більша константа кислоти, тим більша сила кислоти, чим менша – тим слабша кислота.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АН та А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perscript"/>
          <w:lang w:val="uk-UA"/>
        </w:rPr>
        <w:t>–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, також як В та В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perscript"/>
          <w:lang w:val="uk-UA"/>
        </w:rPr>
        <w:t>+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Н є спряженими кислотно-основними парами. </w:t>
      </w:r>
      <w:r w:rsidR="00EF2833">
        <w:rPr>
          <w:rFonts w:ascii="Arial" w:hAnsi="Arial" w:cs="Arial"/>
          <w:color w:val="000000" w:themeColor="text1"/>
          <w:sz w:val="24"/>
          <w:szCs w:val="24"/>
          <w:lang w:val="uk-UA"/>
        </w:rPr>
        <w:br/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Між силою кислоти (АН та В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perscript"/>
          <w:lang w:val="uk-UA"/>
        </w:rPr>
        <w:t>+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Н) і спряженою з нею основою А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perscript"/>
          <w:lang w:val="uk-UA"/>
        </w:rPr>
        <w:t>–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чи В існує наступна залежність: чим слабше кислота, тим більша сила спряженої з нею основи і навпаки.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Кислотність органічної сполуки АН чи В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perscript"/>
          <w:lang w:val="uk-UA"/>
        </w:rPr>
        <w:t>+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Н залежить від багатьох факторів, основним з яких є більш висока стабільність А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perscript"/>
          <w:lang w:val="uk-UA"/>
        </w:rPr>
        <w:t>-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чи В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в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порівнянні з АН чи В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perscript"/>
          <w:lang w:val="uk-UA"/>
        </w:rPr>
        <w:t>+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Н.</w:t>
      </w:r>
    </w:p>
    <w:p w:rsidR="00F80443" w:rsidRPr="00EF2833" w:rsidRDefault="00F80443" w:rsidP="00F80443">
      <w:pPr>
        <w:pStyle w:val="4"/>
        <w:spacing w:before="120" w:after="120" w:line="240" w:lineRule="auto"/>
        <w:jc w:val="both"/>
        <w:rPr>
          <w:rFonts w:ascii="Arial" w:hAnsi="Arial" w:cs="Arial"/>
          <w:b w:val="0"/>
          <w:color w:val="7030A0"/>
          <w:sz w:val="24"/>
          <w:szCs w:val="24"/>
          <w:lang w:val="uk-UA"/>
        </w:rPr>
      </w:pPr>
      <w:r w:rsidRPr="00EF2833">
        <w:rPr>
          <w:rFonts w:ascii="Arial" w:hAnsi="Arial" w:cs="Arial"/>
          <w:b w:val="0"/>
          <w:color w:val="7030A0"/>
          <w:sz w:val="24"/>
          <w:szCs w:val="24"/>
          <w:lang w:val="uk-UA"/>
        </w:rPr>
        <w:t>Кислотність спиртів (</w:t>
      </w:r>
      <w:proofErr w:type="spellStart"/>
      <w:r w:rsidRPr="00EF2833">
        <w:rPr>
          <w:rFonts w:ascii="Arial" w:hAnsi="Arial" w:cs="Arial"/>
          <w:b w:val="0"/>
          <w:color w:val="7030A0"/>
          <w:sz w:val="24"/>
          <w:szCs w:val="24"/>
          <w:lang w:val="uk-UA"/>
        </w:rPr>
        <w:t>алканолів</w:t>
      </w:r>
      <w:proofErr w:type="spellEnd"/>
      <w:r w:rsidRPr="00EF2833">
        <w:rPr>
          <w:rFonts w:ascii="Arial" w:hAnsi="Arial" w:cs="Arial"/>
          <w:b w:val="0"/>
          <w:color w:val="7030A0"/>
          <w:sz w:val="24"/>
          <w:szCs w:val="24"/>
          <w:lang w:val="uk-UA"/>
        </w:rPr>
        <w:t>)</w:t>
      </w:r>
    </w:p>
    <w:p w:rsidR="00F80443" w:rsidRPr="00F80443" w:rsidRDefault="00F80443" w:rsidP="00F80443">
      <w:pPr>
        <w:pStyle w:val="ad"/>
        <w:spacing w:before="12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Спирти (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алканоли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), за винятком метанолу – більш слабкі кислоти, ніж вода, але більш  сильні кислоти, ніж ацетилен чи амоніак: 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56" type="#_x0000_t75" style="position:absolute;left:0;text-align:left;margin-left:127.9pt;margin-top:6.2pt;width:233.55pt;height:112.4pt;z-index:251681792">
            <v:imagedata r:id="rId78" o:title=""/>
          </v:shape>
          <o:OLEObject Type="Embed" ProgID="ChemDraw.Document.6.0" ShapeID="_x0000_s1056" DrawAspect="Content" ObjectID="_1679854309" r:id="rId79"/>
        </w:pict>
      </w: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57" type="#_x0000_t75" style="position:absolute;left:0;text-align:left;margin-left:99.5pt;margin-top:624.9pt;width:256.2pt;height:48.6pt;z-index:251682816" o:allowincell="f">
            <v:imagedata r:id="rId80" o:title=""/>
          </v:shape>
          <o:OLEObject Type="Embed" ProgID="ChemDraw.Document.6.0" ShapeID="_x0000_s1057" DrawAspect="Content" ObjectID="_1679854310" r:id="rId81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pStyle w:val="ad"/>
        <w:spacing w:before="12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lastRenderedPageBreak/>
        <w:t xml:space="preserve">Спирти відрізняються від води наявністю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алкільної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групи. Кислотність залежить від здатності аніону розподіляти негативний заряд. Так як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алкільна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група подає електрони (володіє позитивним індукційним ефектом) вона буде збільшувати негативний заряд – відносно заряду на гідроксильному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йоні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і, таким чином, робити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йон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менш стабільним.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104" type="#_x0000_t75" style="position:absolute;left:0;text-align:left;margin-left:140.55pt;margin-top:7.75pt;width:205.2pt;height:21.15pt;z-index:251730944">
            <v:imagedata r:id="rId82" o:title=""/>
          </v:shape>
          <o:OLEObject Type="Embed" ProgID="ChemDraw.Document.6.0" ShapeID="_x0000_s1104" DrawAspect="Content" ObjectID="_1679854311" r:id="rId83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Алкільний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радикал (R) подає електрони: збільшує заряд, дестабілізує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йон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, робить кислоту більш слабкою: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cтійкість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йонів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ОН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perscript"/>
          <w:lang w:val="uk-UA"/>
        </w:rPr>
        <w:t>–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&gt; RCH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bscript"/>
          <w:lang w:val="uk-UA"/>
        </w:rPr>
        <w:t>2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O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perscript"/>
          <w:lang w:val="uk-UA"/>
        </w:rPr>
        <w:t>–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відносна кислотність Н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bscript"/>
          <w:lang w:val="uk-UA"/>
        </w:rPr>
        <w:t>2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О &gt; RCH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bscript"/>
          <w:lang w:val="uk-UA"/>
        </w:rPr>
        <w:t>2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OH</w:t>
      </w:r>
    </w:p>
    <w:p w:rsidR="00F80443" w:rsidRPr="00F80443" w:rsidRDefault="00F80443" w:rsidP="00F80443">
      <w:pPr>
        <w:pStyle w:val="ad"/>
        <w:spacing w:before="12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Як змінюється кислотність спиртів в залежності від місця знаходження гідроксильної групи і будови вуглеводневого радикалу?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105" type="#_x0000_t75" style="position:absolute;left:0;text-align:left;margin-left:153.75pt;margin-top:.6pt;width:157.95pt;height:106.8pt;z-index:251731968">
            <v:imagedata r:id="rId84" o:title=""/>
          </v:shape>
          <o:OLEObject Type="Embed" ProgID="ChemDraw.Document.6.0" ShapeID="_x0000_s1105" DrawAspect="Content" ObjectID="_1679854312" r:id="rId85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EF2833" w:rsidRDefault="00EF283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Найбільшим індукційним  ефектом володіють третинні спирти з трьома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алкільними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 групами, які подають електрони атому Карбону, що зв’язаний з ОН-групою, меншим ефектом – вторинні спирти, ще меншим – первинні і найменшим – метиловий спирт.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106" type="#_x0000_t75" style="position:absolute;left:0;text-align:left;margin-left:88.95pt;margin-top:15.05pt;width:258.6pt;height:54pt;z-index:251732992">
            <v:imagedata r:id="rId86" o:title=""/>
          </v:shape>
          <o:OLEObject Type="Embed" ProgID="ChemDraw.Document.6.0" ShapeID="_x0000_s1106" DrawAspect="Content" ObjectID="_1679854313" r:id="rId87"/>
        </w:pic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Стійкість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алконолят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-іонів зменшується в ряду: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Кислотність спиртів зменшується в тому ж порядку: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метиловий спирт &gt; первинний спирт &gt; вторинний спирт &gt; третинний спирт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Основність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алконолятів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змінюється в зворотному напрямку: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107" type="#_x0000_t75" style="position:absolute;left:0;text-align:left;margin-left:84.75pt;margin-top:1.4pt;width:258.6pt;height:54pt;z-index:251734016">
            <v:imagedata r:id="rId88" o:title=""/>
          </v:shape>
          <o:OLEObject Type="Embed" ProgID="ChemDraw.Document.6.0" ShapeID="_x0000_s1107" DrawAspect="Content" ObjectID="_1679854314" r:id="rId89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EF2833" w:rsidRDefault="00EF2833" w:rsidP="00F80443">
      <w:pPr>
        <w:pStyle w:val="ad"/>
        <w:spacing w:before="12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EF2833" w:rsidP="00F80443">
      <w:pPr>
        <w:pStyle w:val="ad"/>
        <w:spacing w:before="12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58" type="#_x0000_t75" style="position:absolute;left:0;text-align:left;margin-left:120.8pt;margin-top:41.55pt;width:192.6pt;height:43.4pt;z-index:251683840">
            <v:imagedata r:id="rId90" o:title=""/>
          </v:shape>
          <o:OLEObject Type="Embed" ProgID="ChemDraw.Document.6.0" ShapeID="_x0000_s1058" DrawAspect="Content" ObjectID="_1679854315" r:id="rId91"/>
        </w:pic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Неподільна електронна пара на атомі </w:t>
      </w:r>
      <w:proofErr w:type="spellStart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Оксигену</w:t>
      </w:r>
      <w:proofErr w:type="spellEnd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взаємодіє з </w:t>
      </w:r>
      <w:proofErr w:type="spellStart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електрофільними</w:t>
      </w:r>
      <w:proofErr w:type="spellEnd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реагентами (наприклад протоном) з утворенням  </w:t>
      </w:r>
      <w:proofErr w:type="spellStart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донорно</w:t>
      </w:r>
      <w:proofErr w:type="spellEnd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-акцепторного зв’язку, при цьому атом </w:t>
      </w:r>
      <w:proofErr w:type="spellStart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Оксигену</w:t>
      </w:r>
      <w:proofErr w:type="spellEnd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приймає позитивний заряд.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pStyle w:val="ad"/>
        <w:spacing w:before="12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В результаті приєднання протону утворюється катіон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алкілоксонію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. Основність спиртів визначається кислотністю катіона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алкілоксонію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(спряженої кислоти):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lastRenderedPageBreak/>
        <w:pict>
          <v:shape id="_x0000_s1108" type="#_x0000_t75" style="position:absolute;left:0;text-align:left;margin-left:120.8pt;margin-top:3.35pt;width:251.4pt;height:43.4pt;z-index:251735040">
            <v:imagedata r:id="rId92" o:title=""/>
          </v:shape>
          <o:OLEObject Type="Embed" ProgID="ChemDraw.Document.6.0" ShapeID="_x0000_s1108" DrawAspect="Content" ObjectID="_1679854316" r:id="rId93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EF2833" w:rsidRDefault="00EF283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Катіони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алкілоксонію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є дуже сильними ОН-кислотами, так як при дисоціації утворюються стійкі частинки – спряжені основи – спирти.</w:t>
      </w:r>
    </w:p>
    <w:p w:rsidR="00F80443" w:rsidRPr="00F80443" w:rsidRDefault="00F80443" w:rsidP="00F80443">
      <w:pPr>
        <w:pStyle w:val="ad"/>
        <w:spacing w:before="12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Багатоатомні спирти більш сильні кислоти ніж одноатомні. Наприклад, в етиленгліколі це пов’язано з наявністю другої гідроксильної групи в положенні 2.</w:t>
      </w:r>
    </w:p>
    <w:p w:rsidR="00F80443" w:rsidRPr="00F80443" w:rsidRDefault="00F80443" w:rsidP="00F80443">
      <w:pPr>
        <w:pStyle w:val="ad"/>
        <w:spacing w:before="12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59" type="#_x0000_t75" style="position:absolute;left:0;text-align:left;margin-left:120.8pt;margin-top:94.55pt;width:218.2pt;height:122.8pt;z-index:251684864">
            <v:imagedata r:id="rId94" o:title=""/>
          </v:shape>
          <o:OLEObject Type="Embed" ProgID="ChemDraw.Document.6.0" ShapeID="_x0000_s1059" DrawAspect="Content" ObjectID="_1679854317" r:id="rId95"/>
        </w:pic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Алконоляти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одноатомних  спиртів утворюються тільки при взаємодії відповідних спиртів з лужними металами, в той час як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моноалконоляти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багатоатомних спиртів частково утворюються вже у водному розчині лугу. Це відбувається через те, що в результаті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електроноакцепторного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індукційного  ефекту (–І–ефект) другої гідроксильної групи, етиленгліколь є відносно більш сильною кислотою, ніж одноатомні спирти.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EF2833" w:rsidRDefault="00EF283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EF2833" w:rsidRDefault="00EF283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EF2833" w:rsidRDefault="00EF283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Стійкість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алконолят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-іонів  зменшується в ряду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60" type="#_x0000_t75" style="position:absolute;left:0;text-align:left;margin-left:170.5pt;margin-top:4.35pt;width:166.4pt;height:37.2pt;z-index:251685888" o:allowincell="f">
            <v:imagedata r:id="rId96" o:title=""/>
          </v:shape>
          <o:OLEObject Type="Embed" ProgID="ChemDraw.Document.6.0" ShapeID="_x0000_s1060" DrawAspect="Content" ObjectID="_1679854318" r:id="rId97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Кислотність відповідно зменшується в ряду</w:t>
      </w:r>
    </w:p>
    <w:p w:rsidR="00F80443" w:rsidRPr="00F80443" w:rsidRDefault="00F80443" w:rsidP="00EF2833">
      <w:pPr>
        <w:spacing w:before="120" w:after="12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багатоатомні спирти &gt; одноатомні спирти</w:t>
      </w:r>
    </w:p>
    <w:p w:rsidR="00F80443" w:rsidRPr="00EF2833" w:rsidRDefault="00F80443" w:rsidP="00F80443">
      <w:pPr>
        <w:pStyle w:val="4"/>
        <w:spacing w:before="120" w:after="120" w:line="240" w:lineRule="auto"/>
        <w:jc w:val="both"/>
        <w:rPr>
          <w:rFonts w:ascii="Arial" w:hAnsi="Arial" w:cs="Arial"/>
          <w:b w:val="0"/>
          <w:color w:val="7030A0"/>
          <w:sz w:val="24"/>
          <w:szCs w:val="24"/>
          <w:lang w:val="uk-UA"/>
        </w:rPr>
      </w:pPr>
      <w:r w:rsidRPr="00EF2833">
        <w:rPr>
          <w:rFonts w:ascii="Arial" w:hAnsi="Arial" w:cs="Arial"/>
          <w:b w:val="0"/>
          <w:color w:val="7030A0"/>
          <w:sz w:val="24"/>
          <w:szCs w:val="24"/>
          <w:lang w:val="uk-UA"/>
        </w:rPr>
        <w:t>Кислотність фенолів</w:t>
      </w:r>
    </w:p>
    <w:p w:rsidR="00F80443" w:rsidRPr="00F80443" w:rsidRDefault="00EF283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109" type="#_x0000_t75" style="position:absolute;left:0;text-align:left;margin-left:129.8pt;margin-top:36.15pt;width:188.8pt;height:126pt;z-index:251736064">
            <v:imagedata r:id="rId98" o:title=""/>
          </v:shape>
          <o:OLEObject Type="Embed" ProgID="ChemDraw.Document.6.0" ShapeID="_x0000_s1109" DrawAspect="Content" ObjectID="_1679854319" r:id="rId99"/>
        </w:pic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Феноли перетворюються в солі під дією водних розчинів лугів, але не водних розчинів бікарбонатів. При дії водних розчинів  мінеральних кислот, карбонових кислот або вугільної кислоти з солей утворюються вільні феноли: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EF2833" w:rsidRDefault="00EF283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EF2833" w:rsidRDefault="00EF283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З цього витікає, що феноли – значно сильніші кислоти, ніж вода, але слабші кислоти, ніж карбонові. Хоча феноли значно слабші  кислоти ніж карбонові, вони більш сильні кислоти ніж спирти.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Розглянемо структури реагентів і продуктів при дисоціації спиртів і фенолів.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lastRenderedPageBreak/>
        <w:pict>
          <v:shape id="_x0000_s1110" type="#_x0000_t75" style="position:absolute;left:0;text-align:left;margin-left:138.35pt;margin-top:14.55pt;width:146pt;height:35pt;z-index:251737088">
            <v:imagedata r:id="rId100" o:title=""/>
          </v:shape>
          <o:OLEObject Type="Embed" ProgID="ChemDraw.Document.6.0" ShapeID="_x0000_s1110" DrawAspect="Content" ObjectID="_1679854320" r:id="rId101"/>
        </w:pic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Спирт та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алконоляти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можна уявити тільки однією структурою: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Фенол і фенолят-іон містять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бензенове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кільце і тому  повинні бути гібридами структур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Кекуле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61" type="#_x0000_t75" style="position:absolute;left:0;text-align:left;margin-left:39.8pt;margin-top:5.7pt;width:392.8pt;height:89.2pt;z-index:251686912">
            <v:imagedata r:id="rId102" o:title=""/>
          </v:shape>
          <o:OLEObject Type="Embed" ProgID="ChemDraw.Document.6.0" ShapeID="_x0000_s1061" DrawAspect="Content" ObjectID="_1679854321" r:id="rId103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63" type="#_x0000_t75" style="position:absolute;left:0;text-align:left;margin-left:329.8pt;margin-top:20.25pt;width:36.4pt;height:27.4pt;z-index:251688960">
            <v:imagedata r:id="rId104" o:title=""/>
          </v:shape>
          <o:OLEObject Type="Embed" ProgID="ChemDraw.Document.6.0" ShapeID="_x0000_s1063" DrawAspect="Content" ObjectID="_1679854322" r:id="rId105"/>
        </w:pict>
      </w:r>
    </w:p>
    <w:p w:rsidR="00EF2833" w:rsidRDefault="00EF2833" w:rsidP="00F80443">
      <w:pPr>
        <w:pStyle w:val="ad"/>
        <w:spacing w:before="12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pStyle w:val="ad"/>
        <w:spacing w:before="12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62" type="#_x0000_t75" style="position:absolute;left:0;text-align:left;margin-left:278pt;margin-top:-3.9pt;width:35.4pt;height:27pt;z-index:251687936" o:allowincell="f">
            <v:imagedata r:id="rId106" o:title=""/>
          </v:shape>
          <o:OLEObject Type="Embed" ProgID="ChemDraw.Document.6.0" ShapeID="_x0000_s1062" DrawAspect="Content" ObjectID="_1679854323" r:id="rId107"/>
        </w:pic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Необхідно враховувати ще те, що групи 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ab/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ab/>
        <w:t xml:space="preserve">і 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ab/>
        <w:t xml:space="preserve"> володіють позитивним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мезомерним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ефектом, і може відбуватися стабілізація фенолу та фенолят-іону за рахунок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делокалізації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пари  електронів за участю π-електронів ароматичного кільця.</w:t>
      </w:r>
    </w:p>
    <w:p w:rsidR="00F80443" w:rsidRPr="00F80443" w:rsidRDefault="00EF283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64" type="#_x0000_t75" style="position:absolute;left:0;text-align:left;margin-left:165.8pt;margin-top:2.4pt;width:116.4pt;height:77pt;z-index:251689984">
            <v:imagedata r:id="rId108" o:title=""/>
          </v:shape>
          <o:OLEObject Type="Embed" ProgID="ChemDraw.Document.6.0" ShapeID="_x0000_s1064" DrawAspect="Content" ObjectID="_1679854324" r:id="rId109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EF283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111" type="#_x0000_t75" style="position:absolute;left:0;text-align:left;margin-left:108.85pt;margin-top:4.75pt;width:236pt;height:219pt;z-index:251738112">
            <v:imagedata r:id="rId110" o:title=""/>
          </v:shape>
          <o:OLEObject Type="Embed" ProgID="ChemDraw.Document.6.0" ShapeID="_x0000_s1111" DrawAspect="Content" ObjectID="_1679854325" r:id="rId111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Так як для розділення протилежних зарядів (фенол) необхідно витратити енергію, то структури для фенолу мають більший запас енергії і тому менш стійкі, ніж структури для фенолят-іона. Тому фенолят-іон в більшому ступені стабілізований, ніж фенол, що зменшує ΔН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йонізації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фенолу в порівнянні з цією величиною для спирту.</w:t>
      </w:r>
    </w:p>
    <w:p w:rsidR="00F80443" w:rsidRPr="00EF2833" w:rsidRDefault="00F80443" w:rsidP="00F80443">
      <w:pPr>
        <w:pStyle w:val="5"/>
        <w:spacing w:before="120" w:after="120" w:line="240" w:lineRule="auto"/>
        <w:jc w:val="both"/>
        <w:rPr>
          <w:rFonts w:ascii="Arial" w:hAnsi="Arial" w:cs="Arial"/>
          <w:i/>
          <w:color w:val="7030A0"/>
          <w:sz w:val="24"/>
          <w:szCs w:val="24"/>
          <w:lang w:val="uk-UA"/>
        </w:rPr>
      </w:pPr>
      <w:r w:rsidRPr="00EF2833">
        <w:rPr>
          <w:rFonts w:ascii="Arial" w:hAnsi="Arial" w:cs="Arial"/>
          <w:i/>
          <w:color w:val="7030A0"/>
          <w:sz w:val="24"/>
          <w:szCs w:val="24"/>
          <w:lang w:val="uk-UA"/>
        </w:rPr>
        <w:t xml:space="preserve">Вплив замісників в </w:t>
      </w:r>
      <w:proofErr w:type="spellStart"/>
      <w:r w:rsidRPr="00EF2833">
        <w:rPr>
          <w:rFonts w:ascii="Arial" w:hAnsi="Arial" w:cs="Arial"/>
          <w:i/>
          <w:color w:val="7030A0"/>
          <w:sz w:val="24"/>
          <w:szCs w:val="24"/>
          <w:lang w:val="uk-UA"/>
        </w:rPr>
        <w:t>бензеновому</w:t>
      </w:r>
      <w:proofErr w:type="spellEnd"/>
      <w:r w:rsidRPr="00EF2833">
        <w:rPr>
          <w:rFonts w:ascii="Arial" w:hAnsi="Arial" w:cs="Arial"/>
          <w:i/>
          <w:color w:val="7030A0"/>
          <w:sz w:val="24"/>
          <w:szCs w:val="24"/>
          <w:lang w:val="uk-UA"/>
        </w:rPr>
        <w:t xml:space="preserve"> кільці на кислотність  фенолів</w:t>
      </w:r>
    </w:p>
    <w:p w:rsid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Електроноакцепторні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замісники виявляють тенденцію до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делокалізації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негативного заряду фенолят-іона, тим самим стабілізують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йон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і збільшують кислотність.</w:t>
      </w:r>
    </w:p>
    <w:p w:rsidR="00EF2833" w:rsidRDefault="00EF283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EF2833" w:rsidRPr="00F80443" w:rsidRDefault="00EF283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lastRenderedPageBreak/>
        <w:pict>
          <v:shape id="_x0000_s1065" type="#_x0000_t75" style="position:absolute;left:0;text-align:left;margin-left:99.5pt;margin-top:5.45pt;width:258.6pt;height:102.6pt;z-index:251691008">
            <v:imagedata r:id="rId112" o:title=""/>
          </v:shape>
          <o:OLEObject Type="Embed" ProgID="ChemDraw.Document.6.0" ShapeID="_x0000_s1065" DrawAspect="Content" ObjectID="_1679854326" r:id="rId113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EF2833" w:rsidRDefault="00EF283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66" type="#_x0000_t75" style="position:absolute;left:0;text-align:left;margin-left:156.8pt;margin-top:46.3pt;width:166.6pt;height:105.6pt;z-index:251692032">
            <v:imagedata r:id="rId114" o:title=""/>
          </v:shape>
          <o:OLEObject Type="Embed" ProgID="ChemDraw.Document.6.0" ShapeID="_x0000_s1066" DrawAspect="Content" ObjectID="_1679854327" r:id="rId115"/>
        </w:pic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Електронодонорні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замісники виявляють тенденцію до збільшення ступеню заряду фенолят-іона, тим самим дестабілізують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йон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, зменшують його кислотність: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EF2833" w:rsidRDefault="00F80443" w:rsidP="00F80443">
      <w:pPr>
        <w:pStyle w:val="4"/>
        <w:spacing w:before="120" w:after="120" w:line="240" w:lineRule="auto"/>
        <w:jc w:val="both"/>
        <w:rPr>
          <w:rFonts w:ascii="Arial" w:hAnsi="Arial" w:cs="Arial"/>
          <w:b w:val="0"/>
          <w:color w:val="7030A0"/>
          <w:sz w:val="24"/>
          <w:szCs w:val="24"/>
          <w:lang w:val="uk-UA"/>
        </w:rPr>
      </w:pPr>
      <w:r w:rsidRPr="00EF2833">
        <w:rPr>
          <w:rFonts w:ascii="Arial" w:hAnsi="Arial" w:cs="Arial"/>
          <w:b w:val="0"/>
          <w:color w:val="7030A0"/>
          <w:sz w:val="24"/>
          <w:szCs w:val="24"/>
          <w:lang w:val="uk-UA"/>
        </w:rPr>
        <w:t>Кислотність тіолів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Тіоли є SH-кислотами, при цьому значно більш сильними, ніж аналогічні ОН-кислоти (спирти).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67" type="#_x0000_t75" style="position:absolute;left:0;text-align:left;margin-left:156.8pt;margin-top:-2.5pt;width:127pt;height:55.2pt;z-index:251693056">
            <v:imagedata r:id="rId116" o:title=""/>
          </v:shape>
          <o:OLEObject Type="Embed" ProgID="ChemDraw.Document.6.0" ShapeID="_x0000_s1067" DrawAspect="Content" ObjectID="_1679854328" r:id="rId117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Підвищена кислотність пояснюється особливостями електронної структури аніона –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тіолят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-іона, в якому можлива більша, ніж в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алконолят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-іоні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делокалізація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негативного заряду (атомний радіус більший, є незаповнені d-орбіталі).</w:t>
      </w:r>
    </w:p>
    <w:p w:rsidR="00F80443" w:rsidRPr="00EF2833" w:rsidRDefault="00F80443" w:rsidP="00F80443">
      <w:pPr>
        <w:pStyle w:val="4"/>
        <w:spacing w:before="120" w:after="120" w:line="240" w:lineRule="auto"/>
        <w:jc w:val="both"/>
        <w:rPr>
          <w:rFonts w:ascii="Arial" w:hAnsi="Arial" w:cs="Arial"/>
          <w:b w:val="0"/>
          <w:color w:val="7030A0"/>
          <w:sz w:val="24"/>
          <w:szCs w:val="24"/>
          <w:lang w:val="uk-UA"/>
        </w:rPr>
      </w:pPr>
      <w:r w:rsidRPr="00EF2833">
        <w:rPr>
          <w:rFonts w:ascii="Arial" w:hAnsi="Arial" w:cs="Arial"/>
          <w:b w:val="0"/>
          <w:color w:val="7030A0"/>
          <w:sz w:val="24"/>
          <w:szCs w:val="24"/>
          <w:lang w:val="uk-UA"/>
        </w:rPr>
        <w:t>Кислотність карбонових кислот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У водному розчині карбонова кислота існує у рівновазі з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карбоксилат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-іоном та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йоном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гідроксонію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68" type="#_x0000_t75" style="position:absolute;left:0;text-align:left;margin-left:120.8pt;margin-top:7.4pt;width:213pt;height:21.6pt;z-index:251694080">
            <v:imagedata r:id="rId118" o:title=""/>
          </v:shape>
          <o:OLEObject Type="Embed" ProgID="ChemDraw.Document.6.0" ShapeID="_x0000_s1068" DrawAspect="Content" ObjectID="_1679854329" r:id="rId119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Як можна пояснити, що ОН-група карбонової кислоти легше віддає протон в порівнянні з ОН-групою спирту?</w:t>
      </w:r>
    </w:p>
    <w:p w:rsidR="00F80443" w:rsidRPr="00F80443" w:rsidRDefault="00F80443" w:rsidP="00F80443">
      <w:pPr>
        <w:pStyle w:val="ad"/>
        <w:spacing w:before="12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Молекулу спирту і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алконолят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-іон можна уявити за допомогою однієї структури: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69" type="#_x0000_t75" style="position:absolute;left:0;text-align:left;margin-left:129.8pt;margin-top:2.8pt;width:149.4pt;height:20.8pt;z-index:251695104">
            <v:imagedata r:id="rId120" o:title=""/>
          </v:shape>
          <o:OLEObject Type="Embed" ProgID="ChemDraw.Document.6.0" ShapeID="_x0000_s1069" DrawAspect="Content" ObjectID="_1679854330" r:id="rId121"/>
        </w:pict>
      </w:r>
    </w:p>
    <w:p w:rsidR="00F80443" w:rsidRPr="00F80443" w:rsidRDefault="00EF283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70" type="#_x0000_t75" style="position:absolute;left:0;text-align:left;margin-left:165.95pt;margin-top:14.15pt;width:55.6pt;height:56.4pt;z-index:251696128">
            <v:imagedata r:id="rId122" o:title=""/>
          </v:shape>
          <o:OLEObject Type="Embed" ProgID="ChemDraw.Document.6.0" ShapeID="_x0000_s1070" DrawAspect="Content" ObjectID="_1679854331" r:id="rId123"/>
        </w:pict>
      </w: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71" type="#_x0000_t75" style="position:absolute;left:0;text-align:left;margin-left:376.1pt;margin-top:3.8pt;width:47.8pt;height:56.2pt;z-index:251697152">
            <v:imagedata r:id="rId124" o:title=""/>
          </v:shape>
          <o:OLEObject Type="Embed" ProgID="ChemDraw.Document.6.0" ShapeID="_x0000_s1071" DrawAspect="Content" ObjectID="_1679854332" r:id="rId125"/>
        </w:pict>
      </w:r>
    </w:p>
    <w:p w:rsidR="00EF2833" w:rsidRDefault="00EF283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Для карбонової кислоти (</w:t>
      </w:r>
      <w:r w:rsidR="00EF283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 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ab/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ab/>
      </w:r>
      <w:r w:rsidR="00EF283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    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) і для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карбоксилат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-іона (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ab/>
        <w:t xml:space="preserve">   </w:t>
      </w:r>
      <w:r w:rsidR="00EF283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     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)</w:t>
      </w:r>
    </w:p>
    <w:p w:rsidR="00EF2833" w:rsidRDefault="00EF283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можна написати по дві ймовірні  резонансні структури: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72" type="#_x0000_t75" style="position:absolute;left:0;text-align:left;margin-left:39.55pt;margin-top:4.9pt;width:369pt;height:82.2pt;z-index:251698176">
            <v:imagedata r:id="rId126" o:title=""/>
          </v:shape>
          <o:OLEObject Type="Embed" ProgID="ChemDraw.Document.6.0" ShapeID="_x0000_s1072" DrawAspect="Content" ObjectID="_1679854333" r:id="rId127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pStyle w:val="ad"/>
        <w:spacing w:before="12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lastRenderedPageBreak/>
        <w:t>Делокалізація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в молекулі кислоти менш ефективна, так як вона супроводжується розділенням зарядів. Стабілізація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карбоксилат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-іонів – наслідок ефективної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делокалізації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. Карбоксилат-іон являє гібрид двох резонансних структур, які володіють однаковою стабільністю і, отож, однаковим вкладом в гібридну структуру, де негативний заряд рівномірно розподілений між двома атомами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Оксигену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:</w:t>
      </w:r>
    </w:p>
    <w:p w:rsidR="00F80443" w:rsidRPr="00F80443" w:rsidRDefault="00EF283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73" type="#_x0000_t75" style="position:absolute;left:0;text-align:left;margin-left:120.8pt;margin-top:.9pt;width:216.2pt;height:58.2pt;z-index:251699200">
            <v:imagedata r:id="rId128" o:title=""/>
          </v:shape>
          <o:OLEObject Type="Embed" ProgID="ChemDraw.Document.6.0" ShapeID="_x0000_s1073" DrawAspect="Content" ObjectID="_1679854334" r:id="rId129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Така різниця в стабілізації призводить до зменшення тенденції протона зв’язуватись з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карбоксилат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-іоном  і до відповідного зміщення рівноваги  вправо, тому в  порівнянні з іншими органічними сполуками карбонові кислоти є більш сильними кислотами.</w:t>
      </w:r>
    </w:p>
    <w:p w:rsidR="00F80443" w:rsidRPr="00EF2833" w:rsidRDefault="00F80443" w:rsidP="00F80443">
      <w:pPr>
        <w:pStyle w:val="4"/>
        <w:spacing w:before="120" w:after="120" w:line="240" w:lineRule="auto"/>
        <w:jc w:val="both"/>
        <w:rPr>
          <w:rFonts w:ascii="Arial" w:hAnsi="Arial" w:cs="Arial"/>
          <w:b w:val="0"/>
          <w:color w:val="7030A0"/>
          <w:sz w:val="24"/>
          <w:szCs w:val="24"/>
          <w:lang w:val="uk-UA"/>
        </w:rPr>
      </w:pPr>
      <w:r w:rsidRPr="00EF2833">
        <w:rPr>
          <w:rFonts w:ascii="Arial" w:hAnsi="Arial" w:cs="Arial"/>
          <w:b w:val="0"/>
          <w:color w:val="7030A0"/>
          <w:sz w:val="24"/>
          <w:szCs w:val="24"/>
          <w:lang w:val="uk-UA"/>
        </w:rPr>
        <w:t>Вплив замісників на кислотність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Будь-який фактор, що стабілізує аніон в більшому ступені, ніж відповідну кислоту, збільшує кислотність кислоти; будь-який фактор, що дестабілізує аніон, знижує кислотність кислоти.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Електроноакцепторні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замісники повинні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делокалізувати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негативний заряд, стабілізувати аніон і збільшувати кислотність,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електронодонорні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замісники повинні посилювати  негативний заряд, дестабілізувати аніон і зменшувати кислотність.</w:t>
      </w:r>
    </w:p>
    <w:p w:rsidR="00F80443" w:rsidRPr="00F80443" w:rsidRDefault="00B12930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75" type="#_x0000_t75" style="position:absolute;left:0;text-align:left;margin-left:35.9pt;margin-top:.6pt;width:62pt;height:58.2pt;z-index:251701248">
            <v:imagedata r:id="rId130" o:title=""/>
          </v:shape>
          <o:OLEObject Type="Embed" ProgID="ChemDraw.Document.6.0" ShapeID="_x0000_s1075" DrawAspect="Content" ObjectID="_1679854335" r:id="rId131"/>
        </w:pict>
      </w:r>
    </w:p>
    <w:p w:rsidR="00F80443" w:rsidRPr="00F80443" w:rsidRDefault="00F80443" w:rsidP="00B12930">
      <w:pPr>
        <w:spacing w:before="120" w:after="120" w:line="240" w:lineRule="auto"/>
        <w:ind w:left="2124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74" type="#_x0000_t75" style="position:absolute;left:0;text-align:left;margin-left:34.45pt;margin-top:28.5pt;width:63pt;height:58.2pt;z-index:251700224">
            <v:imagedata r:id="rId132" o:title=""/>
          </v:shape>
          <o:OLEObject Type="Embed" ProgID="ChemDraw.Document.6.0" ShapeID="_x0000_s1074" DrawAspect="Content" ObjectID="_1679854336" r:id="rId133"/>
        </w:pic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R – стягує електрони, стабілізує аніон, збільшує силу кислоти.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B12930">
      <w:pPr>
        <w:spacing w:before="120" w:after="120" w:line="240" w:lineRule="auto"/>
        <w:ind w:left="2124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R – подає електрони, дестабілізує аніон, зменшує силу кислоти.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B12930" w:rsidRDefault="00F80443" w:rsidP="00F80443">
      <w:pPr>
        <w:pStyle w:val="4"/>
        <w:spacing w:before="120" w:after="120" w:line="240" w:lineRule="auto"/>
        <w:jc w:val="both"/>
        <w:rPr>
          <w:rFonts w:ascii="Arial" w:hAnsi="Arial" w:cs="Arial"/>
          <w:b w:val="0"/>
          <w:color w:val="7030A0"/>
          <w:sz w:val="24"/>
          <w:szCs w:val="24"/>
          <w:lang w:val="uk-UA"/>
        </w:rPr>
      </w:pPr>
      <w:r w:rsidRPr="00B12930">
        <w:rPr>
          <w:rFonts w:ascii="Arial" w:hAnsi="Arial" w:cs="Arial"/>
          <w:b w:val="0"/>
          <w:color w:val="7030A0"/>
          <w:sz w:val="24"/>
          <w:szCs w:val="24"/>
          <w:lang w:val="uk-UA"/>
        </w:rPr>
        <w:t>Незаміщені аліфатичні кислоти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Заміщення негідроксильного атома Гідрогену в молекулі мурашиної кислоти на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електронодонорну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алкільну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групу зменшує силу кислот.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Електронодонорний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індукційний ефект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алкільної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групи збільшує негативний заряд на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Оксигені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, дестабілізує аніон.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76" type="#_x0000_t75" style="position:absolute;left:0;text-align:left;margin-left:135pt;margin-top:14.4pt;width:151pt;height:58.4pt;z-index:251702272">
            <v:imagedata r:id="rId134" o:title=""/>
          </v:shape>
          <o:OLEObject Type="Embed" ProgID="ChemDraw.Document.6.0" ShapeID="_x0000_s1076" DrawAspect="Content" ObjectID="_1679854337" r:id="rId135"/>
        </w:pic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Стабільність аніонів зменшується в ряду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B12930" w:rsidRDefault="00B12930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Кислотність кислот зменшується в ряду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77" type="#_x0000_t75" style="position:absolute;left:0;text-align:left;margin-left:135pt;margin-top:4.85pt;width:124.2pt;height:44.4pt;z-index:251703296">
            <v:imagedata r:id="rId136" o:title=""/>
          </v:shape>
          <o:OLEObject Type="Embed" ProgID="ChemDraw.Document.6.0" ShapeID="_x0000_s1077" DrawAspect="Content" ObjectID="_1679854338" r:id="rId137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B12930" w:rsidRDefault="00B12930" w:rsidP="00F80443">
      <w:pPr>
        <w:pStyle w:val="ad"/>
        <w:spacing w:before="12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pStyle w:val="ad"/>
        <w:spacing w:before="12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Подальше введення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алкільних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груп в оцтову кислоту здійснює менший  вплив, ніж перше заміщення. Цей ефект є ефектом другого порядку, і його вплив на силу кислоти  не завжди можливо передбачити, так як певну роль можуть відігравати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стеричні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та інші фактори.</w:t>
      </w:r>
    </w:p>
    <w:p w:rsidR="00F80443" w:rsidRPr="00B12930" w:rsidRDefault="00F80443" w:rsidP="00F80443">
      <w:pPr>
        <w:pStyle w:val="4"/>
        <w:spacing w:before="120" w:after="120" w:line="240" w:lineRule="auto"/>
        <w:jc w:val="both"/>
        <w:rPr>
          <w:rFonts w:ascii="Arial" w:hAnsi="Arial" w:cs="Arial"/>
          <w:b w:val="0"/>
          <w:color w:val="7030A0"/>
          <w:sz w:val="24"/>
          <w:szCs w:val="24"/>
          <w:lang w:val="uk-UA"/>
        </w:rPr>
      </w:pPr>
      <w:r w:rsidRPr="00B12930">
        <w:rPr>
          <w:rFonts w:ascii="Arial" w:hAnsi="Arial" w:cs="Arial"/>
          <w:b w:val="0"/>
          <w:color w:val="7030A0"/>
          <w:sz w:val="24"/>
          <w:szCs w:val="24"/>
          <w:lang w:val="uk-UA"/>
        </w:rPr>
        <w:lastRenderedPageBreak/>
        <w:t>Заміщені аліфатичні кислоти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Електроноакцепторні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атоми галогенів збільшують силу кислот: хлороцтова кислота в 100 разів більш сильна ніж оцтова,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дихлороцтова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ще більш сильна, а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трихлороцтова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в 10000 разів більш сильна незаміщеної кислоти. Атоми галогенів за рахунок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електроноакцепторного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індукційного ефекту зменшують негативний заряд на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Оксигені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, стабілізують аніон.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Стійкість аніонів зменшується в ряду: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78" type="#_x0000_t75" style="position:absolute;left:0;text-align:left;margin-left:42.7pt;margin-top:4.25pt;width:404.4pt;height:60.6pt;z-index:251704320" o:allowincell="f">
            <v:imagedata r:id="rId138" o:title=""/>
          </v:shape>
          <o:OLEObject Type="Embed" ProgID="ChemDraw.Document.6.0" ShapeID="_x0000_s1078" DrawAspect="Content" ObjectID="_1679854339" r:id="rId139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B12930" w:rsidRDefault="00B12930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Кислотність кислот збільшується в ряду: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79" type="#_x0000_t75" style="position:absolute;left:0;text-align:left;margin-left:53.55pt;margin-top:12.05pt;width:336.8pt;height:45.2pt;z-index:251705344" o:allowincell="f">
            <v:imagedata r:id="rId140" o:title=""/>
          </v:shape>
          <o:OLEObject Type="Embed" ProgID="ChemDraw.Document.6.0" ShapeID="_x0000_s1079" DrawAspect="Content" ObjectID="_1679854340" r:id="rId141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Відносний вплив різних галогенів відповідає ряду: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F &gt;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Cl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&gt;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Br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&gt; I</w:t>
      </w:r>
    </w:p>
    <w:p w:rsidR="00F80443" w:rsidRPr="00F80443" w:rsidRDefault="00F80443" w:rsidP="00F80443">
      <w:pPr>
        <w:pStyle w:val="ad"/>
        <w:spacing w:before="12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Найбільш сильний  ефект виявляє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Флюор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– самий електронегативний (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електроноакцепторний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) з галогенів.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Введення галогену в положення,  більш віддалене по відношенню до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карбоксильної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групи, ніж α-положення, здійснює не такий сильний вплив на кислотність сполук, так як  індукційний ефект швидко затухає вздовж насиченого ланцюга: α-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хлормасляна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майже така ж сильна, як хлороцтова, β-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хлормасляна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в 6 разів, а γ-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хлормасляна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тільки в 2 рази більш сильна ніж  масляна.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Аналогічний вплив (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електроноакцепторний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індукційний ефект)  виявляє гідроксильна група в оксикислотах. Неподільні пари електронів атома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Оксигену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не здатні виявляти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мезомерний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ефект в напрямку, протилежному індукційному ефекту, через наявність насиченого атома Карбону.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80" type="#_x0000_t75" style="position:absolute;left:0;text-align:left;margin-left:127.9pt;margin-top:13.8pt;width:183pt;height:58.4pt;z-index:251706368">
            <v:imagedata r:id="rId142" o:title=""/>
          </v:shape>
          <o:OLEObject Type="Embed" ProgID="ChemDraw.Document.6.0" ShapeID="_x0000_s1080" DrawAspect="Content" ObjectID="_1679854341" r:id="rId143"/>
        </w:pic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Стійкість аніона змінюється в ряду: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B12930" w:rsidRDefault="00B12930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Сила кислот збільшується в ряду: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81" type="#_x0000_t75" style="position:absolute;left:0;text-align:left;margin-left:135pt;margin-top:2.4pt;width:169.6pt;height:44.4pt;z-index:251707392">
            <v:imagedata r:id="rId144" o:title=""/>
          </v:shape>
          <o:OLEObject Type="Embed" ProgID="ChemDraw.Document.6.0" ShapeID="_x0000_s1081" DrawAspect="Content" ObjectID="_1679854342" r:id="rId145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82" type="#_x0000_t75" style="position:absolute;left:0;text-align:left;margin-left:264.8pt;margin-top:5.15pt;width:190.75pt;height:40.15pt;z-index:251708416">
            <v:imagedata r:id="rId146" o:title=""/>
          </v:shape>
          <o:OLEObject Type="Embed" ProgID="ChemDraw.Document.6.0" ShapeID="_x0000_s1082" DrawAspect="Content" ObjectID="_1679854343" r:id="rId147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Інші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електроноакцепторні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групи, наприклад, </w:t>
      </w:r>
    </w:p>
    <w:p w:rsidR="00F80443" w:rsidRPr="00F80443" w:rsidRDefault="00F80443" w:rsidP="00F80443">
      <w:pPr>
        <w:pStyle w:val="a3"/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80443" w:rsidRPr="00F80443" w:rsidRDefault="00F80443" w:rsidP="00F80443">
      <w:pPr>
        <w:pStyle w:val="a3"/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0443">
        <w:rPr>
          <w:rFonts w:ascii="Arial" w:hAnsi="Arial" w:cs="Arial"/>
          <w:color w:val="000000" w:themeColor="text1"/>
          <w:sz w:val="24"/>
          <w:szCs w:val="24"/>
        </w:rPr>
        <w:t>підвищують силу аліфатичних насичених кислот.</w:t>
      </w:r>
    </w:p>
    <w:p w:rsidR="00F80443" w:rsidRPr="00B12930" w:rsidRDefault="00F80443" w:rsidP="00F80443">
      <w:pPr>
        <w:pStyle w:val="4"/>
        <w:spacing w:before="120" w:after="120" w:line="240" w:lineRule="auto"/>
        <w:jc w:val="both"/>
        <w:rPr>
          <w:rFonts w:ascii="Arial" w:hAnsi="Arial" w:cs="Arial"/>
          <w:b w:val="0"/>
          <w:color w:val="7030A0"/>
          <w:sz w:val="24"/>
          <w:szCs w:val="24"/>
          <w:lang w:val="uk-UA"/>
        </w:rPr>
      </w:pPr>
      <w:r w:rsidRPr="00B12930">
        <w:rPr>
          <w:rFonts w:ascii="Arial" w:hAnsi="Arial" w:cs="Arial"/>
          <w:b w:val="0"/>
          <w:color w:val="7030A0"/>
          <w:sz w:val="24"/>
          <w:szCs w:val="24"/>
          <w:lang w:val="uk-UA"/>
        </w:rPr>
        <w:lastRenderedPageBreak/>
        <w:t>Ненасичені карбонові кислоти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Якщо поруч з карбонільною групою знаходиться атом Карбону, який несе подвійний зв’язок, сила кислоти підвищується (наприклад, акрилова кислота СН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bscript"/>
          <w:lang w:val="uk-UA"/>
        </w:rPr>
        <w:t>2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=СН–СООН). Це пов’язано з тим, що у ненасиченого α-атома Карбону, який знаходиться у стані sp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perscript"/>
          <w:lang w:val="uk-UA"/>
        </w:rPr>
        <w:t>2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-гібридизації,  електрони відтягнуті ближче до ядра, ніж у насиченого атома, який знаходиться у стані sp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perscript"/>
          <w:lang w:val="uk-UA"/>
        </w:rPr>
        <w:t>3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-гібридизації. А це пояснюється відносно більшим внеском s-орбіталей в електронну структуру sp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perscript"/>
          <w:lang w:val="uk-UA"/>
        </w:rPr>
        <w:t>2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-гібрида. В результаті sp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perscript"/>
          <w:lang w:val="uk-UA"/>
        </w:rPr>
        <w:t>2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-гібридизації атоми Карбону володіють злегка зниженою здатністю віддавати електрони в порівнянні з sp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perscript"/>
          <w:lang w:val="uk-UA"/>
        </w:rPr>
        <w:t>3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-гібридизованими насиченими атомами Карбону. Тому акрилова кислота більш сильна  ніж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пропіонова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. Цей ефект виявлений ще більш сильно у випадку потрійного зв’язку (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пропаргілова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кислота СН≡С–СООН) атоми Карбону якого мають знаходитись в стані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sp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-гібридизації.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83" type="#_x0000_t75" style="position:absolute;left:0;text-align:left;margin-left:106.35pt;margin-top:19.05pt;width:253.8pt;height:45pt;z-index:251709440" o:allowincell="f">
            <v:imagedata r:id="rId148" o:title=""/>
          </v:shape>
          <o:OLEObject Type="Embed" ProgID="ChemDraw.Document.6.0" ShapeID="_x0000_s1083" DrawAspect="Content" ObjectID="_1679854344" r:id="rId149"/>
        </w:pic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Кислотність змінюється в ряду: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pStyle w:val="4"/>
        <w:spacing w:before="120" w:after="120" w:line="24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  <w:lang w:val="uk-UA"/>
        </w:rPr>
      </w:pPr>
    </w:p>
    <w:p w:rsidR="00F80443" w:rsidRPr="00B12930" w:rsidRDefault="00F80443" w:rsidP="00F80443">
      <w:pPr>
        <w:pStyle w:val="4"/>
        <w:spacing w:before="120" w:after="120" w:line="240" w:lineRule="auto"/>
        <w:jc w:val="both"/>
        <w:rPr>
          <w:rFonts w:ascii="Arial" w:hAnsi="Arial" w:cs="Arial"/>
          <w:b w:val="0"/>
          <w:color w:val="7030A0"/>
          <w:sz w:val="24"/>
          <w:szCs w:val="24"/>
          <w:lang w:val="uk-UA"/>
        </w:rPr>
      </w:pPr>
      <w:proofErr w:type="spellStart"/>
      <w:r w:rsidRPr="00B12930">
        <w:rPr>
          <w:rFonts w:ascii="Arial" w:hAnsi="Arial" w:cs="Arial"/>
          <w:b w:val="0"/>
          <w:color w:val="7030A0"/>
          <w:sz w:val="24"/>
          <w:szCs w:val="24"/>
          <w:lang w:val="uk-UA"/>
        </w:rPr>
        <w:t>Дикарбонові</w:t>
      </w:r>
      <w:proofErr w:type="spellEnd"/>
      <w:r w:rsidRPr="00B12930">
        <w:rPr>
          <w:rFonts w:ascii="Arial" w:hAnsi="Arial" w:cs="Arial"/>
          <w:b w:val="0"/>
          <w:color w:val="7030A0"/>
          <w:sz w:val="24"/>
          <w:szCs w:val="24"/>
          <w:lang w:val="uk-UA"/>
        </w:rPr>
        <w:t xml:space="preserve"> кислоти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84" type="#_x0000_t75" style="position:absolute;left:0;text-align:left;margin-left:71.1pt;margin-top:29.9pt;width:331.6pt;height:49.8pt;z-index:251710464">
            <v:imagedata r:id="rId150" o:title=""/>
          </v:shape>
          <o:OLEObject Type="Embed" ProgID="ChemDraw.Document.6.0" ShapeID="_x0000_s1084" DrawAspect="Content" ObjectID="_1679854345" r:id="rId151"/>
        </w:pic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У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дикарбонових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кислот картина більш складна, так як існують два ступеня дисоціації.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B12930" w:rsidRDefault="00B12930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85" type="#_x0000_t75" style="position:absolute;left:0;text-align:left;margin-left:162.45pt;margin-top:110.25pt;width:111pt;height:58.2pt;z-index:251711488">
            <v:imagedata r:id="rId152" o:title=""/>
          </v:shape>
          <o:OLEObject Type="Embed" ProgID="ChemDraw.Document.6.0" ShapeID="_x0000_s1085" DrawAspect="Content" ObjectID="_1679854346" r:id="rId153"/>
        </w:pic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Оскільки в молекулі містяться дві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карбоксильні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групи, кожна з яких з однаковою ймовірністю може відщеплювати протон, отож можливо було б очікувати у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дикарбонових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кислот подвійної кислотності в порівнянні з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монокарбоновими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. З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дикарбонових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кислот тільки вищі, починаючи приблизно з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пімелінової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НООС–(СН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bscript"/>
          <w:lang w:val="uk-UA"/>
        </w:rPr>
        <w:t>2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)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bscript"/>
          <w:lang w:val="uk-UA"/>
        </w:rPr>
        <w:t>3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–СООН, виправдовують ці очікування: в них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карбоксильні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групи віддалені одна від одної і взаємний вплив їх несуттєвий. В інших випадках друга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карбоксильна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група діє як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електроноакцепторний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замісник (негативний індукційний ефект) і підвищує кислотність першого карбоксилу за рахунок підвищення стійкості аніону.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B12930" w:rsidRDefault="00B12930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Даний ефект дуже швидко зменшується по мірі того, як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карбоксильні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групи розділяються більше, ніж одним  насиченим атомом  Карбону.</w:t>
      </w:r>
    </w:p>
    <w:p w:rsidR="00F80443" w:rsidRPr="00F80443" w:rsidRDefault="00B12930" w:rsidP="00F80443">
      <w:pPr>
        <w:pStyle w:val="ad"/>
        <w:spacing w:before="12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86" type="#_x0000_t75" style="position:absolute;left:0;text-align:left;margin-left:64pt;margin-top:52.15pt;width:353.8pt;height:110pt;z-index:251712512">
            <v:imagedata r:id="rId154" o:title=""/>
          </v:shape>
          <o:OLEObject Type="Embed" ProgID="ChemDraw.Document.6.0" ShapeID="_x0000_s1086" DrawAspect="Content" ObjectID="_1679854347" r:id="rId155"/>
        </w:pict>
      </w:r>
      <w:proofErr w:type="spellStart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Електроноакцепторний</w:t>
      </w:r>
      <w:proofErr w:type="spellEnd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вплив (–І-ефект) другої </w:t>
      </w:r>
      <w:proofErr w:type="spellStart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карбоксильної</w:t>
      </w:r>
      <w:proofErr w:type="spellEnd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групи дуже сильно виражений в </w:t>
      </w:r>
      <w:proofErr w:type="spellStart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цис</w:t>
      </w:r>
      <w:proofErr w:type="spellEnd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-транс-ізомерних кислотах: малеїнова кислота більш сильна, ніж </w:t>
      </w:r>
      <w:proofErr w:type="spellStart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фумарова</w:t>
      </w:r>
      <w:proofErr w:type="spellEnd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, так як обидві </w:t>
      </w:r>
      <w:proofErr w:type="spellStart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карбоксильні</w:t>
      </w:r>
      <w:proofErr w:type="spellEnd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групи за рахунок етиленового зв’язку розташовані близько одна біля одної і  можливе утворення водневого зв’язку.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pStyle w:val="ad"/>
        <w:spacing w:before="12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lastRenderedPageBreak/>
        <w:t xml:space="preserve">Щавлева,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малонова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, янтарна кислоти по другому ступеню дисоціації більш слабкі кислоти, ніж мурашина, оцтова і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пропіонова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кислоти. Це пояснюється тим, що у випадку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дикарбонових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кислот другий протон відщеплюється від негативно заряджених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йонів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, що містять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електронодонорний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замісник, які дестабілізують аніон в порівнянні з молекулою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недисоційованої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кислоти. Для  одноосновних кислот цей ефект  відсутній.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Стійкість аніонів: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87" type="#_x0000_t75" style="position:absolute;left:0;text-align:left;margin-left:141.1pt;margin-top:.7pt;width:197.55pt;height:58.6pt;z-index:251713536">
            <v:imagedata r:id="rId156" o:title=""/>
          </v:shape>
          <o:OLEObject Type="Embed" ProgID="ChemDraw.Document.6.0" ShapeID="_x0000_s1087" DrawAspect="Content" ObjectID="_1679854348" r:id="rId157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B12930" w:rsidRDefault="00F80443" w:rsidP="00F80443">
      <w:pPr>
        <w:pStyle w:val="4"/>
        <w:spacing w:before="120" w:after="120" w:line="240" w:lineRule="auto"/>
        <w:jc w:val="both"/>
        <w:rPr>
          <w:rFonts w:ascii="Arial" w:hAnsi="Arial" w:cs="Arial"/>
          <w:b w:val="0"/>
          <w:color w:val="7030A0"/>
          <w:sz w:val="24"/>
          <w:szCs w:val="24"/>
          <w:lang w:val="uk-UA"/>
        </w:rPr>
      </w:pPr>
      <w:r w:rsidRPr="00B12930">
        <w:rPr>
          <w:rFonts w:ascii="Arial" w:hAnsi="Arial" w:cs="Arial"/>
          <w:b w:val="0"/>
          <w:color w:val="7030A0"/>
          <w:sz w:val="24"/>
          <w:szCs w:val="24"/>
          <w:lang w:val="uk-UA"/>
        </w:rPr>
        <w:t>Ароматичні карбонові кислоти</w:t>
      </w:r>
    </w:p>
    <w:p w:rsidR="00F80443" w:rsidRPr="00F80443" w:rsidRDefault="00B12930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88" type="#_x0000_t75" style="position:absolute;left:0;text-align:left;margin-left:184.7pt;margin-top:50.4pt;width:100.35pt;height:56.6pt;z-index:251714560">
            <v:imagedata r:id="rId158" o:title=""/>
          </v:shape>
          <o:OLEObject Type="Embed" ProgID="ChemDraw.Document.6.0" ShapeID="_x0000_s1088" DrawAspect="Content" ObjectID="_1679854349" r:id="rId159"/>
        </w:pic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Бензойна кислота є більш сильною, ніж її насичений аналог – </w:t>
      </w:r>
      <w:proofErr w:type="spellStart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циклогексанкарбонова</w:t>
      </w:r>
      <w:proofErr w:type="spellEnd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кислота. </w:t>
      </w:r>
      <w:proofErr w:type="spellStart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Фенільна</w:t>
      </w:r>
      <w:proofErr w:type="spellEnd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група подібно подвійному зв’язку більш сильно відтягує електрони  від </w:t>
      </w:r>
      <w:proofErr w:type="spellStart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карбоксильної</w:t>
      </w:r>
      <w:proofErr w:type="spellEnd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групи, ніж насичена система атомів Карбону, через наявність sp</w: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vertAlign w:val="superscript"/>
          <w:lang w:val="uk-UA"/>
        </w:rPr>
        <w:t>2</w: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-гібридизованого атома Карбону, що зв’язаний  з </w:t>
      </w:r>
      <w:proofErr w:type="spellStart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карбоксильною</w:t>
      </w:r>
      <w:proofErr w:type="spellEnd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групою.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pStyle w:val="ad"/>
        <w:spacing w:before="12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Введення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алкільних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груп суттєво не впливає на силу ароматичних кислот.</w:t>
      </w:r>
    </w:p>
    <w:p w:rsidR="00F80443" w:rsidRPr="00F80443" w:rsidRDefault="00B12930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89" type="#_x0000_t75" style="position:absolute;left:0;text-align:left;margin-left:163.4pt;margin-top:19.75pt;width:112.4pt;height:56.4pt;z-index:251715584">
            <v:imagedata r:id="rId160" o:title=""/>
          </v:shape>
          <o:OLEObject Type="Embed" ProgID="ChemDraw.Document.6.0" ShapeID="_x0000_s1089" DrawAspect="Content" ObjectID="_1679854350" r:id="rId161"/>
        </w:pict>
      </w:r>
      <w:proofErr w:type="spellStart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Електроноакцепторні</w:t>
      </w:r>
      <w:proofErr w:type="spellEnd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групи підвищують силу ароматичних кислот, стабілізують аніон, причому, особливо цей ефект виражений при заміщенні в </w:t>
      </w:r>
      <w:proofErr w:type="spellStart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орто</w:t>
      </w:r>
      <w:proofErr w:type="spellEnd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- і пара-положеннях: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Особливо сильний ефект спостерігається при введенні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нітрогрупи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в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орто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-положення. Індукційний ефект більш сильно діє на короткій відстані.</w:t>
      </w:r>
    </w:p>
    <w:p w:rsidR="00F80443" w:rsidRPr="00F80443" w:rsidRDefault="00B12930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90" type="#_x0000_t75" style="position:absolute;left:0;text-align:left;margin-left:156.8pt;margin-top:73.05pt;width:129.8pt;height:70.4pt;z-index:251716608">
            <v:imagedata r:id="rId162" o:title=""/>
          </v:shape>
          <o:OLEObject Type="Embed" ProgID="ChemDraw.Document.6.0" ShapeID="_x0000_s1090" DrawAspect="Content" ObjectID="_1679854351" r:id="rId163"/>
        </w:pic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Такі групи, як  гідроксильна і </w:t>
      </w:r>
      <w:proofErr w:type="spellStart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метоксильна</w:t>
      </w:r>
      <w:proofErr w:type="spellEnd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, так як  і атоми галогену, викликають </w:t>
      </w:r>
      <w:proofErr w:type="spellStart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електроноакцепторний</w:t>
      </w:r>
      <w:proofErr w:type="spellEnd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індукційний ефект, але володіють </w:t>
      </w:r>
      <w:proofErr w:type="spellStart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електронодонорним</w:t>
      </w:r>
      <w:proofErr w:type="spellEnd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мезомерним</w:t>
      </w:r>
      <w:proofErr w:type="spellEnd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ефектом при заміщенні в </w:t>
      </w:r>
      <w:proofErr w:type="spellStart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орто</w:t>
      </w:r>
      <w:proofErr w:type="spellEnd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- і пара-положеннях. Це призводить до того, що пара-заміщені кислоти є більш слабкими, ніж мета-заміщені, а в деяких випадках кислотність пара-заміщених кислот є нижче кислотності вихідної незаміщеної кислоти.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pStyle w:val="ad"/>
        <w:spacing w:before="12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орто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-Заміщені кислоти часто ведуть себе аномально. Інколи вони є більш сильними, ніж можна  було б очікувати, виходячи з припущення про пряму взаємодію сусідніх груп. Так, наприклад,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внутримолекулярні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водневі зв’язки стабілізують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карбоксилат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-аніон, що утворюється з саліцилової кислоти:</w:t>
      </w:r>
    </w:p>
    <w:p w:rsidR="00F80443" w:rsidRPr="00F80443" w:rsidRDefault="00B12930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91" type="#_x0000_t75" style="position:absolute;left:0;text-align:left;margin-left:97.9pt;margin-top:-.7pt;width:240.75pt;height:84.2pt;z-index:251717632">
            <v:imagedata r:id="rId164" o:title=""/>
          </v:shape>
          <o:OLEObject Type="Embed" ProgID="ChemDraw.Document.6.0" ShapeID="_x0000_s1091" DrawAspect="Content" ObjectID="_1679854352" r:id="rId165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lastRenderedPageBreak/>
        <w:t>Така особливість не характерна ні для мета- і пара-ізомерів  саліцилової кислоти, ні для о-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метоксибензойної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кислоти.</w:t>
      </w:r>
    </w:p>
    <w:p w:rsidR="00F80443" w:rsidRPr="00B12930" w:rsidRDefault="00F80443" w:rsidP="00F80443">
      <w:pPr>
        <w:pStyle w:val="4"/>
        <w:spacing w:before="120" w:after="120" w:line="240" w:lineRule="auto"/>
        <w:jc w:val="both"/>
        <w:rPr>
          <w:rFonts w:ascii="Arial" w:hAnsi="Arial" w:cs="Arial"/>
          <w:b w:val="0"/>
          <w:color w:val="7030A0"/>
          <w:sz w:val="24"/>
          <w:szCs w:val="24"/>
          <w:lang w:val="uk-UA"/>
        </w:rPr>
      </w:pPr>
      <w:r w:rsidRPr="00B12930">
        <w:rPr>
          <w:rFonts w:ascii="Arial" w:hAnsi="Arial" w:cs="Arial"/>
          <w:b w:val="0"/>
          <w:color w:val="7030A0"/>
          <w:sz w:val="24"/>
          <w:szCs w:val="24"/>
          <w:lang w:val="uk-UA"/>
        </w:rPr>
        <w:t>Основність типових основ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Розглянемо аміни – головний тип органічних основ.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Аліфатичний амін – більш сильна основа, ніж амоніак, оскільки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електронодонорні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алкільні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групи виявляють здатність до участі в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делокалізації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позитивного заряду в заміщеному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йоні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амонію і тому забезпечують стабілізацію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йона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, яка неможлива для незаміщеного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йона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амонію.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Стабілізація заміщених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йонів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амоніаку: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92" type="#_x0000_t75" style="position:absolute;left:0;text-align:left;margin-left:92.4pt;margin-top:5.65pt;width:193.8pt;height:54.2pt;z-index:251718656">
            <v:imagedata r:id="rId166" o:title=""/>
          </v:shape>
          <o:OLEObject Type="Embed" ProgID="ChemDraw.Document.6.0" ShapeID="_x0000_s1092" DrawAspect="Content" ObjectID="_1679854353" r:id="rId167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pStyle w:val="ad"/>
        <w:spacing w:before="12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Можливо очікувати підвищення основності в ряду амінів в результаті підвищення індукційного ефекту за рахунок послідовного введення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алкільних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груп: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93" type="#_x0000_t75" style="position:absolute;left:0;text-align:left;margin-left:93.8pt;margin-top:5.05pt;width:240.2pt;height:40.8pt;z-index:251719680">
            <v:imagedata r:id="rId168" o:title=""/>
          </v:shape>
          <o:OLEObject Type="Embed" ProgID="ChemDraw.Document.6.0" ShapeID="_x0000_s1093" DrawAspect="Content" ObjectID="_1679854354" r:id="rId169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B12930" w:rsidRDefault="00B12930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Дійсно введення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алкільної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групи в молекулу амоніаку значно підвищує основність сполук, причому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етильна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група здійснює трохи більший ефект, ніж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метильна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. Введення другої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алкільної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групи призводить до подальшого підвищення основності, однак ефект введення другої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алкільної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групи виражений  значно слабше, ніж першої. Введення ж третьої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алкільної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групи  призводить до помітного зниження основності. Ця аномалія пов’язана зі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сольватаційним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ефектом: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йон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амонію є кислотою, за рахунок свого кислого атома Гідрогену він утворює водневі зв’язки з основними атомами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Оксигену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води. Утворення цих зв’язків, що стабілізують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йон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амонію, полегшується в ряду R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bscript"/>
          <w:lang w:val="uk-UA"/>
        </w:rPr>
        <w:t>3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N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perscript"/>
          <w:lang w:val="uk-UA"/>
        </w:rPr>
        <w:t>+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H, R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bscript"/>
          <w:lang w:val="uk-UA"/>
        </w:rPr>
        <w:t>2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N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perscript"/>
          <w:lang w:val="uk-UA"/>
        </w:rPr>
        <w:t>+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H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bscript"/>
          <w:lang w:val="uk-UA"/>
        </w:rPr>
        <w:t>2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, RN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perscript"/>
          <w:lang w:val="uk-UA"/>
        </w:rPr>
        <w:t>+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H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bscript"/>
          <w:lang w:val="uk-UA"/>
        </w:rPr>
        <w:t>3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. Ці ефекти протидіють індукційним ефектам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алкільних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груп та в кінцевому підсумку перевищують їх.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Ароматичні аміни більш слабкі основи,  ніж амоніак. Амоніак і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йон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амонію можна описати однією структурою.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94" type="#_x0000_t75" style="position:absolute;left:0;text-align:left;margin-left:130.7pt;margin-top:2.9pt;width:180.8pt;height:60.75pt;z-index:251720704" o:allowincell="f">
            <v:imagedata r:id="rId170" o:title=""/>
          </v:shape>
          <o:OLEObject Type="Embed" ProgID="ChemDraw.Document.6.0" ShapeID="_x0000_s1094" DrawAspect="Content" ObjectID="_1679854355" r:id="rId171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pStyle w:val="ad"/>
        <w:spacing w:before="12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Анілін та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йон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анілінія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можна  представити структурами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Кекуле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95" type="#_x0000_t75" style="position:absolute;left:0;text-align:left;margin-left:49.8pt;margin-top:10.25pt;width:363.8pt;height:91.6pt;z-index:251721728" o:allowincell="f">
            <v:imagedata r:id="rId172" o:title=""/>
          </v:shape>
          <o:OLEObject Type="Embed" ProgID="ChemDraw.Document.6.0" ShapeID="_x0000_s1095" DrawAspect="Content" ObjectID="_1679854356" r:id="rId173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За рахунок позитивного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мезомерного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ефекту аміногрупа подає електронну пару атому Нітрогену на ароматичне кільце, тобто NH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bscript"/>
          <w:lang w:val="uk-UA"/>
        </w:rPr>
        <w:t>2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-група прагне поділити електрони з  кільцем і анілін можна уявити за допомогою ще трьох резонансних структур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lastRenderedPageBreak/>
        <w:pict>
          <v:shape id="_x0000_s1096" type="#_x0000_t75" style="position:absolute;left:0;text-align:left;margin-left:12.8pt;margin-top:1.35pt;width:416.2pt;height:84.6pt;z-index:251722752">
            <v:imagedata r:id="rId174" o:title=""/>
          </v:shape>
          <o:OLEObject Type="Embed" ProgID="ChemDraw.Document.6.0" ShapeID="_x0000_s1096" DrawAspect="Content" ObjectID="_1679854357" r:id="rId175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B12930" w:rsidRDefault="00B12930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Подібні структури для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йона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анілінія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неможливі.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Участь резонансних структур стабілізує амін так, як неможливо для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йону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амонію.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Таким чином, низька основність ароматичних амінів пояснюється тим, що амін в більшому ступені стабілізується резонансом, ніж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йон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</w:p>
    <w:p w:rsidR="00F80443" w:rsidRPr="00F80443" w:rsidRDefault="00B12930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98" type="#_x0000_t75" style="position:absolute;left:0;text-align:left;margin-left:90.45pt;margin-top:18pt;width:34pt;height:22.6pt;z-index:251724800">
            <v:imagedata r:id="rId176" o:title=""/>
          </v:shape>
          <o:OLEObject Type="Embed" ProgID="ChemDraw.Document.6.0" ShapeID="_x0000_s1098" DrawAspect="Content" ObjectID="_1679854358" r:id="rId177"/>
        </w:pict>
      </w: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97" type="#_x0000_t75" style="position:absolute;left:0;text-align:left;margin-left:210.4pt;margin-top:5.2pt;width:38.4pt;height:22pt;z-index:251723776">
            <v:imagedata r:id="rId178" o:title=""/>
          </v:shape>
          <o:OLEObject Type="Embed" ProgID="ChemDraw.Document.6.0" ShapeID="_x0000_s1097" DrawAspect="Content" ObjectID="_1679854359" r:id="rId179"/>
        </w:pic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Такий ефект ще більш виражений при заміщені атомів Гідрогену NH</w: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vertAlign w:val="subscript"/>
          <w:lang w:val="uk-UA"/>
        </w:rPr>
        <w:t>2</w: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-групи на </w:t>
      </w:r>
      <w:proofErr w:type="spellStart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фенільні</w:t>
      </w:r>
      <w:proofErr w:type="spellEnd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групи.  Так, дифеніламін </w:t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ab/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ab/>
        <w:t xml:space="preserve">є вже дуже слабкою основою, а </w:t>
      </w:r>
      <w:proofErr w:type="spellStart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трифеніламін</w:t>
      </w:r>
      <w:proofErr w:type="spellEnd"/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ab/>
      </w:r>
      <w:r w:rsidR="00F80443"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ab/>
        <w:t>по звичайним стандартам взагалі неможливо вважати основою.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N-алкіл- і N,N-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диалкілзаміщені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аніліни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більш сильні основи, ніж незаміщені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аніліни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за рахунок позитивного індукційного ефекту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алкільних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груп.</w:t>
      </w:r>
    </w:p>
    <w:p w:rsidR="00F80443" w:rsidRPr="00B12930" w:rsidRDefault="00F80443" w:rsidP="00F80443">
      <w:pPr>
        <w:pStyle w:val="4"/>
        <w:spacing w:before="120" w:after="120" w:line="240" w:lineRule="auto"/>
        <w:jc w:val="both"/>
        <w:rPr>
          <w:rFonts w:ascii="Arial" w:hAnsi="Arial" w:cs="Arial"/>
          <w:b w:val="0"/>
          <w:color w:val="7030A0"/>
          <w:sz w:val="24"/>
          <w:szCs w:val="24"/>
          <w:lang w:val="uk-UA"/>
        </w:rPr>
      </w:pPr>
      <w:r w:rsidRPr="00B12930">
        <w:rPr>
          <w:rFonts w:ascii="Arial" w:hAnsi="Arial" w:cs="Arial"/>
          <w:b w:val="0"/>
          <w:color w:val="7030A0"/>
          <w:sz w:val="24"/>
          <w:szCs w:val="24"/>
          <w:lang w:val="uk-UA"/>
        </w:rPr>
        <w:t>Вплив замісників в кільці на основність ароматичних амінів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Електронодонорні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замісники типу СН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bscript"/>
          <w:lang w:val="uk-UA"/>
        </w:rPr>
        <w:t>3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збільшують основність аніліну, а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електроноакцепторні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замісники типу галогенів чи NO</w:t>
      </w:r>
      <w:r w:rsidRPr="00F80443">
        <w:rPr>
          <w:rFonts w:ascii="Arial" w:hAnsi="Arial" w:cs="Arial"/>
          <w:color w:val="000000" w:themeColor="text1"/>
          <w:sz w:val="24"/>
          <w:szCs w:val="24"/>
          <w:vertAlign w:val="subscript"/>
          <w:lang w:val="uk-UA"/>
        </w:rPr>
        <w:t>2</w:t>
      </w: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її зменшують. Подача електронів сприяє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делокалізації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позитивного заряду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йона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анілінію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, що стабілізує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йон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в порівнянні з аміном. Відтягування електронів призводить до посилення позитивного заряду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йону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>анілінію</w:t>
      </w:r>
      <w:proofErr w:type="spellEnd"/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та його дестабілізації в порівнянні з аміном.</w: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noProof/>
          <w:color w:val="000000" w:themeColor="text1"/>
          <w:sz w:val="24"/>
          <w:szCs w:val="24"/>
          <w:lang w:val="uk-UA"/>
        </w:rPr>
        <w:pict>
          <v:shape id="_x0000_s1099" type="#_x0000_t75" style="position:absolute;left:0;text-align:left;margin-left:28.5pt;margin-top:1.5pt;width:386.8pt;height:81.6pt;z-index:251725824" o:allowincell="f">
            <v:imagedata r:id="rId180" o:title=""/>
          </v:shape>
          <o:OLEObject Type="Embed" ProgID="ChemDraw.Document.6.0" ShapeID="_x0000_s1099" DrawAspect="Content" ObjectID="_1679854360" r:id="rId181"/>
        </w:pict>
      </w: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F8044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F80443" w:rsidRPr="00F80443" w:rsidRDefault="00F80443" w:rsidP="00B12930">
      <w:pPr>
        <w:spacing w:before="120" w:after="12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color w:val="000000" w:themeColor="text1"/>
          <w:sz w:val="24"/>
          <w:szCs w:val="24"/>
          <w:lang w:val="uk-UA"/>
        </w:rPr>
        <w:object w:dxaOrig="8260" w:dyaOrig="1640">
          <v:shape id="_x0000_i1039" type="#_x0000_t75" style="width:413.3pt;height:82.3pt" o:ole="">
            <v:imagedata r:id="rId182" o:title=""/>
          </v:shape>
          <o:OLEObject Type="Embed" ProgID="ChemDraw.Document.6.0" ShapeID="_x0000_i1039" DrawAspect="Content" ObjectID="_1679854291" r:id="rId183"/>
        </w:object>
      </w:r>
    </w:p>
    <w:p w:rsidR="0035099D" w:rsidRPr="00F80443" w:rsidRDefault="0035099D" w:rsidP="00F80443">
      <w:pPr>
        <w:pStyle w:val="a3"/>
        <w:shd w:val="clear" w:color="auto" w:fill="FF99FF"/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35099D" w:rsidRPr="00F80443" w:rsidRDefault="009D0246" w:rsidP="00F80443">
      <w:pPr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</w:pPr>
      <w:r w:rsidRPr="00F80443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pict>
          <v:rect id="_x0000_i1025" style="width:0;height:1.5pt" o:hralign="center" o:hrstd="t" o:hr="t" fillcolor="#a0a0a0" stroked="f"/>
        </w:pict>
      </w:r>
    </w:p>
    <w:p w:rsidR="00B060C5" w:rsidRPr="00F80443" w:rsidRDefault="00B060C5" w:rsidP="00F80443">
      <w:pPr>
        <w:pStyle w:val="3"/>
        <w:spacing w:before="120" w:after="120"/>
        <w:ind w:left="0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80443">
        <w:rPr>
          <w:rFonts w:ascii="Arial" w:hAnsi="Arial" w:cs="Arial"/>
          <w:b w:val="0"/>
          <w:color w:val="000000" w:themeColor="text1"/>
          <w:sz w:val="24"/>
          <w:szCs w:val="24"/>
        </w:rPr>
        <w:t>Список літератури</w:t>
      </w:r>
    </w:p>
    <w:p w:rsidR="00B060C5" w:rsidRPr="00F80443" w:rsidRDefault="00B060C5" w:rsidP="00F80443">
      <w:pPr>
        <w:pStyle w:val="a3"/>
        <w:spacing w:before="120" w:after="120"/>
        <w:jc w:val="both"/>
        <w:rPr>
          <w:rFonts w:ascii="Arial" w:hAnsi="Arial" w:cs="Arial"/>
          <w:color w:val="000000" w:themeColor="text1"/>
          <w:spacing w:val="6"/>
          <w:sz w:val="24"/>
          <w:szCs w:val="24"/>
        </w:rPr>
      </w:pPr>
      <w:r w:rsidRPr="00F80443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Pr="00F80443">
        <w:rPr>
          <w:rFonts w:ascii="Arial" w:hAnsi="Arial" w:cs="Arial"/>
          <w:color w:val="000000" w:themeColor="text1"/>
          <w:spacing w:val="5"/>
          <w:sz w:val="24"/>
          <w:szCs w:val="24"/>
        </w:rPr>
        <w:t xml:space="preserve">https://chem.libretexts.org/Textbook_Maps/Analytical_ </w:t>
      </w:r>
      <w:proofErr w:type="spellStart"/>
      <w:r w:rsidRPr="00F80443">
        <w:rPr>
          <w:rFonts w:ascii="Arial" w:hAnsi="Arial" w:cs="Arial"/>
          <w:color w:val="000000" w:themeColor="text1"/>
          <w:spacing w:val="-5"/>
          <w:sz w:val="24"/>
          <w:szCs w:val="24"/>
        </w:rPr>
        <w:t>Chemistry_Textbook_Maps</w:t>
      </w:r>
      <w:proofErr w:type="spellEnd"/>
      <w:r w:rsidRPr="00F80443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/Map%3A_Analytical_Chemistry_2.0_ </w:t>
      </w:r>
      <w:r w:rsidRPr="00F80443">
        <w:rPr>
          <w:rFonts w:ascii="Arial" w:hAnsi="Arial" w:cs="Arial"/>
          <w:color w:val="000000" w:themeColor="text1"/>
          <w:spacing w:val="6"/>
          <w:sz w:val="24"/>
          <w:szCs w:val="24"/>
        </w:rPr>
        <w:t>(</w:t>
      </w:r>
      <w:proofErr w:type="spellStart"/>
      <w:r w:rsidRPr="00F80443">
        <w:rPr>
          <w:rFonts w:ascii="Arial" w:hAnsi="Arial" w:cs="Arial"/>
          <w:color w:val="000000" w:themeColor="text1"/>
          <w:spacing w:val="6"/>
          <w:sz w:val="24"/>
          <w:szCs w:val="24"/>
        </w:rPr>
        <w:t>Harvey</w:t>
      </w:r>
      <w:proofErr w:type="spellEnd"/>
      <w:r w:rsidRPr="00F80443">
        <w:rPr>
          <w:rFonts w:ascii="Arial" w:hAnsi="Arial" w:cs="Arial"/>
          <w:color w:val="000000" w:themeColor="text1"/>
          <w:spacing w:val="6"/>
          <w:sz w:val="24"/>
          <w:szCs w:val="24"/>
        </w:rPr>
        <w:t>)/13_Kinetic_Methods/13.2%3A_Chemical_Kinetics</w:t>
      </w:r>
    </w:p>
    <w:p w:rsidR="00B060C5" w:rsidRPr="00F80443" w:rsidRDefault="00B060C5" w:rsidP="00F80443">
      <w:pPr>
        <w:pStyle w:val="a3"/>
        <w:spacing w:before="120" w:after="120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</w:pPr>
      <w:r w:rsidRPr="00F80443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35099D" w:rsidRPr="00F80443"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>Лі</w:t>
      </w:r>
      <w:r w:rsidRPr="00F80443"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 xml:space="preserve">нда М. </w:t>
      </w:r>
      <w:proofErr w:type="spellStart"/>
      <w:r w:rsidRPr="00F80443"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>Світтінг</w:t>
      </w:r>
      <w:proofErr w:type="spellEnd"/>
      <w:r w:rsidRPr="00F80443"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 xml:space="preserve"> </w:t>
      </w:r>
      <w:hyperlink r:id="rId184" w:history="1">
        <w:r w:rsidRPr="00F80443">
          <w:rPr>
            <w:rStyle w:val="ac"/>
            <w:rFonts w:ascii="Arial" w:hAnsi="Arial" w:cs="Arial"/>
            <w:i/>
            <w:iCs/>
            <w:color w:val="000000" w:themeColor="text1"/>
            <w:sz w:val="24"/>
            <w:szCs w:val="24"/>
            <w:u w:val="none"/>
            <w:lang w:eastAsia="ru-RU"/>
          </w:rPr>
          <w:t>https://tigerweb.towson.edu/ladon/enrich/mechwrit.htm</w:t>
        </w:r>
      </w:hyperlink>
      <w:r w:rsidRPr="00F80443"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850324" w:rsidRPr="00F80443" w:rsidRDefault="00B060C5" w:rsidP="00B12930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F80443">
        <w:rPr>
          <w:rFonts w:ascii="Arial" w:hAnsi="Arial" w:cs="Arial"/>
          <w:i/>
          <w:iCs/>
          <w:color w:val="000000" w:themeColor="text1"/>
          <w:sz w:val="24"/>
          <w:szCs w:val="24"/>
          <w:lang w:val="uk-UA" w:eastAsia="ru-RU"/>
        </w:rPr>
        <w:t xml:space="preserve">3. </w:t>
      </w:r>
      <w:hyperlink r:id="rId185" w:tgtFrame="_blank" w:tooltip="Механізми органічних реакцій у розчинах" w:history="1">
        <w:r w:rsidRPr="00F80443">
          <w:rPr>
            <w:rStyle w:val="ac"/>
            <w:rFonts w:ascii="Arial" w:hAnsi="Arial" w:cs="Arial"/>
            <w:color w:val="000000" w:themeColor="text1"/>
            <w:sz w:val="24"/>
            <w:szCs w:val="24"/>
            <w:u w:val="none"/>
            <w:lang w:val="uk-UA"/>
          </w:rPr>
          <w:t xml:space="preserve">Механізми органічних реакцій у розчинах : </w:t>
        </w:r>
        <w:proofErr w:type="spellStart"/>
        <w:r w:rsidRPr="00F80443">
          <w:rPr>
            <w:rStyle w:val="ac"/>
            <w:rFonts w:ascii="Arial" w:hAnsi="Arial" w:cs="Arial"/>
            <w:color w:val="000000" w:themeColor="text1"/>
            <w:sz w:val="24"/>
            <w:szCs w:val="24"/>
            <w:u w:val="none"/>
            <w:lang w:val="uk-UA"/>
          </w:rPr>
          <w:t>навч</w:t>
        </w:r>
        <w:proofErr w:type="spellEnd"/>
        <w:r w:rsidRPr="00F80443">
          <w:rPr>
            <w:rStyle w:val="ac"/>
            <w:rFonts w:ascii="Arial" w:hAnsi="Arial" w:cs="Arial"/>
            <w:color w:val="000000" w:themeColor="text1"/>
            <w:sz w:val="24"/>
            <w:szCs w:val="24"/>
            <w:u w:val="none"/>
            <w:lang w:val="uk-UA"/>
          </w:rPr>
          <w:t xml:space="preserve">. </w:t>
        </w:r>
        <w:proofErr w:type="spellStart"/>
        <w:r w:rsidRPr="00F80443">
          <w:rPr>
            <w:rStyle w:val="ac"/>
            <w:rFonts w:ascii="Arial" w:hAnsi="Arial" w:cs="Arial"/>
            <w:color w:val="000000" w:themeColor="text1"/>
            <w:sz w:val="24"/>
            <w:szCs w:val="24"/>
            <w:u w:val="none"/>
            <w:lang w:val="uk-UA"/>
          </w:rPr>
          <w:t>посіб</w:t>
        </w:r>
        <w:proofErr w:type="spellEnd"/>
        <w:r w:rsidRPr="00F80443">
          <w:rPr>
            <w:rStyle w:val="ac"/>
            <w:rFonts w:ascii="Arial" w:hAnsi="Arial" w:cs="Arial"/>
            <w:color w:val="000000" w:themeColor="text1"/>
            <w:sz w:val="24"/>
            <w:szCs w:val="24"/>
            <w:u w:val="none"/>
            <w:lang w:val="uk-UA"/>
          </w:rPr>
          <w:t xml:space="preserve">. / В.Г. </w:t>
        </w:r>
        <w:proofErr w:type="spellStart"/>
        <w:r w:rsidRPr="00F80443">
          <w:rPr>
            <w:rStyle w:val="ac"/>
            <w:rFonts w:ascii="Arial" w:hAnsi="Arial" w:cs="Arial"/>
            <w:color w:val="000000" w:themeColor="text1"/>
            <w:sz w:val="24"/>
            <w:szCs w:val="24"/>
            <w:u w:val="none"/>
            <w:lang w:val="uk-UA"/>
          </w:rPr>
          <w:t>Пивоваренко</w:t>
        </w:r>
        <w:proofErr w:type="spellEnd"/>
        <w:r w:rsidRPr="00F80443">
          <w:rPr>
            <w:rStyle w:val="ac"/>
            <w:rFonts w:ascii="Arial" w:hAnsi="Arial" w:cs="Arial"/>
            <w:color w:val="000000" w:themeColor="text1"/>
            <w:sz w:val="24"/>
            <w:szCs w:val="24"/>
            <w:u w:val="none"/>
            <w:lang w:val="uk-UA"/>
          </w:rPr>
          <w:t xml:space="preserve"> – К. : ВПЦ "Київський університет", 2019. – 303 с.</w:t>
        </w:r>
      </w:hyperlink>
      <w:bookmarkStart w:id="11" w:name="_GoBack"/>
      <w:bookmarkEnd w:id="11"/>
    </w:p>
    <w:sectPr w:rsidR="00850324" w:rsidRPr="00F80443" w:rsidSect="0035099D">
      <w:headerReference w:type="default" r:id="rId18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246" w:rsidRDefault="009D0246" w:rsidP="0035099D">
      <w:pPr>
        <w:spacing w:after="0" w:line="240" w:lineRule="auto"/>
      </w:pPr>
      <w:r>
        <w:separator/>
      </w:r>
    </w:p>
  </w:endnote>
  <w:endnote w:type="continuationSeparator" w:id="0">
    <w:p w:rsidR="009D0246" w:rsidRDefault="009D0246" w:rsidP="0035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246" w:rsidRDefault="009D0246" w:rsidP="0035099D">
      <w:pPr>
        <w:spacing w:after="0" w:line="240" w:lineRule="auto"/>
      </w:pPr>
      <w:r>
        <w:separator/>
      </w:r>
    </w:p>
  </w:footnote>
  <w:footnote w:type="continuationSeparator" w:id="0">
    <w:p w:rsidR="009D0246" w:rsidRDefault="009D0246" w:rsidP="0035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b/>
        <w:i/>
        <w:sz w:val="28"/>
        <w:szCs w:val="28"/>
        <w:lang w:val="uk-UA"/>
      </w:rPr>
      <w:alias w:val="Название"/>
      <w:id w:val="77738743"/>
      <w:placeholder>
        <w:docPart w:val="515C1AB2FA0C4C658F98B52E2F6AE3F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5099D" w:rsidRDefault="0035099D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5099D">
          <w:rPr>
            <w:rFonts w:cstheme="minorHAnsi"/>
            <w:b/>
            <w:i/>
            <w:sz w:val="28"/>
            <w:szCs w:val="28"/>
            <w:lang w:val="uk-UA"/>
          </w:rPr>
          <w:t>Механізми органічних реакцій</w:t>
        </w:r>
      </w:p>
    </w:sdtContent>
  </w:sdt>
  <w:p w:rsidR="0035099D" w:rsidRDefault="003509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5DB7"/>
    <w:multiLevelType w:val="multilevel"/>
    <w:tmpl w:val="13C26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04F87"/>
    <w:multiLevelType w:val="multilevel"/>
    <w:tmpl w:val="72522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774F2"/>
    <w:multiLevelType w:val="multilevel"/>
    <w:tmpl w:val="64AC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C76AC"/>
    <w:multiLevelType w:val="singleLevel"/>
    <w:tmpl w:val="22266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52B4B57"/>
    <w:multiLevelType w:val="multilevel"/>
    <w:tmpl w:val="835A9A36"/>
    <w:lvl w:ilvl="0">
      <w:start w:val="1"/>
      <w:numFmt w:val="decimal"/>
      <w:lvlText w:val="%1"/>
      <w:lvlJc w:val="left"/>
      <w:pPr>
        <w:ind w:left="763" w:hanging="530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956" w:hanging="530"/>
      </w:pPr>
      <w:rPr>
        <w:rFonts w:ascii="Trebuchet MS" w:eastAsia="Trebuchet MS" w:hAnsi="Trebuchet MS" w:cs="Trebuchet MS" w:hint="default"/>
        <w:b/>
        <w:bCs/>
        <w:spacing w:val="-1"/>
        <w:w w:val="99"/>
        <w:sz w:val="24"/>
        <w:szCs w:val="24"/>
        <w:lang w:val="uk-UA" w:eastAsia="uk-UA" w:bidi="uk-UA"/>
      </w:rPr>
    </w:lvl>
    <w:lvl w:ilvl="2">
      <w:start w:val="1"/>
      <w:numFmt w:val="decimal"/>
      <w:lvlText w:val="%3."/>
      <w:lvlJc w:val="left"/>
      <w:pPr>
        <w:ind w:left="234" w:hanging="203"/>
      </w:pPr>
      <w:rPr>
        <w:rFonts w:ascii="Times New Roman" w:eastAsia="Times New Roman" w:hAnsi="Times New Roman" w:cs="Times New Roman" w:hint="default"/>
        <w:spacing w:val="-6"/>
        <w:w w:val="99"/>
        <w:sz w:val="22"/>
        <w:szCs w:val="22"/>
        <w:lang w:val="uk-UA" w:eastAsia="uk-UA" w:bidi="uk-UA"/>
      </w:rPr>
    </w:lvl>
    <w:lvl w:ilvl="3">
      <w:numFmt w:val="bullet"/>
      <w:lvlText w:val="•"/>
      <w:lvlJc w:val="left"/>
      <w:pPr>
        <w:ind w:left="2257" w:hanging="203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3006" w:hanging="203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3755" w:hanging="20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4504" w:hanging="20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5253" w:hanging="20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6002" w:hanging="203"/>
      </w:pPr>
      <w:rPr>
        <w:rFonts w:hint="default"/>
        <w:lang w:val="uk-UA" w:eastAsia="uk-UA" w:bidi="uk-UA"/>
      </w:rPr>
    </w:lvl>
  </w:abstractNum>
  <w:abstractNum w:abstractNumId="5">
    <w:nsid w:val="65CB5C8B"/>
    <w:multiLevelType w:val="singleLevel"/>
    <w:tmpl w:val="22266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9D"/>
    <w:rsid w:val="001B315F"/>
    <w:rsid w:val="00281A2E"/>
    <w:rsid w:val="0035099D"/>
    <w:rsid w:val="00586CA6"/>
    <w:rsid w:val="00612AA7"/>
    <w:rsid w:val="00850324"/>
    <w:rsid w:val="009D0246"/>
    <w:rsid w:val="00B060C5"/>
    <w:rsid w:val="00B12930"/>
    <w:rsid w:val="00DB71C0"/>
    <w:rsid w:val="00E1442B"/>
    <w:rsid w:val="00EF2833"/>
    <w:rsid w:val="00F8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9D"/>
  </w:style>
  <w:style w:type="paragraph" w:styleId="1">
    <w:name w:val="heading 1"/>
    <w:basedOn w:val="a"/>
    <w:next w:val="a"/>
    <w:link w:val="10"/>
    <w:uiPriority w:val="9"/>
    <w:qFormat/>
    <w:rsid w:val="00F804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4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35099D"/>
    <w:pPr>
      <w:widowControl w:val="0"/>
      <w:autoSpaceDE w:val="0"/>
      <w:autoSpaceDN w:val="0"/>
      <w:spacing w:after="0" w:line="240" w:lineRule="auto"/>
      <w:ind w:left="2302"/>
      <w:outlineLvl w:val="2"/>
    </w:pPr>
    <w:rPr>
      <w:rFonts w:ascii="Trebuchet MS" w:eastAsia="Trebuchet MS" w:hAnsi="Trebuchet MS" w:cs="Trebuchet MS"/>
      <w:b/>
      <w:bCs/>
      <w:lang w:val="uk-UA" w:eastAsia="uk-UA" w:bidi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4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4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509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1"/>
    <w:rsid w:val="0035099D"/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30">
    <w:name w:val="Заголовок 3 Знак"/>
    <w:basedOn w:val="a0"/>
    <w:link w:val="3"/>
    <w:uiPriority w:val="1"/>
    <w:rsid w:val="0035099D"/>
    <w:rPr>
      <w:rFonts w:ascii="Trebuchet MS" w:eastAsia="Trebuchet MS" w:hAnsi="Trebuchet MS" w:cs="Trebuchet MS"/>
      <w:b/>
      <w:bCs/>
      <w:lang w:val="uk-UA" w:eastAsia="uk-UA" w:bidi="uk-UA"/>
    </w:rPr>
  </w:style>
  <w:style w:type="paragraph" w:styleId="a5">
    <w:name w:val="List Paragraph"/>
    <w:basedOn w:val="a"/>
    <w:uiPriority w:val="1"/>
    <w:qFormat/>
    <w:rsid w:val="0035099D"/>
    <w:pPr>
      <w:widowControl w:val="0"/>
      <w:autoSpaceDE w:val="0"/>
      <w:autoSpaceDN w:val="0"/>
      <w:spacing w:after="0" w:line="240" w:lineRule="auto"/>
      <w:ind w:left="234" w:firstLine="284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35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9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5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099D"/>
  </w:style>
  <w:style w:type="paragraph" w:styleId="aa">
    <w:name w:val="footer"/>
    <w:basedOn w:val="a"/>
    <w:link w:val="ab"/>
    <w:uiPriority w:val="99"/>
    <w:unhideWhenUsed/>
    <w:rsid w:val="0035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099D"/>
  </w:style>
  <w:style w:type="character" w:styleId="ac">
    <w:name w:val="Hyperlink"/>
    <w:basedOn w:val="a0"/>
    <w:uiPriority w:val="99"/>
    <w:unhideWhenUsed/>
    <w:rsid w:val="00B060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804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804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04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8044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Body Text Indent"/>
    <w:basedOn w:val="a"/>
    <w:link w:val="ae"/>
    <w:uiPriority w:val="99"/>
    <w:semiHidden/>
    <w:unhideWhenUsed/>
    <w:rsid w:val="00F8044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80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9D"/>
  </w:style>
  <w:style w:type="paragraph" w:styleId="1">
    <w:name w:val="heading 1"/>
    <w:basedOn w:val="a"/>
    <w:next w:val="a"/>
    <w:link w:val="10"/>
    <w:uiPriority w:val="9"/>
    <w:qFormat/>
    <w:rsid w:val="00F804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4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35099D"/>
    <w:pPr>
      <w:widowControl w:val="0"/>
      <w:autoSpaceDE w:val="0"/>
      <w:autoSpaceDN w:val="0"/>
      <w:spacing w:after="0" w:line="240" w:lineRule="auto"/>
      <w:ind w:left="2302"/>
      <w:outlineLvl w:val="2"/>
    </w:pPr>
    <w:rPr>
      <w:rFonts w:ascii="Trebuchet MS" w:eastAsia="Trebuchet MS" w:hAnsi="Trebuchet MS" w:cs="Trebuchet MS"/>
      <w:b/>
      <w:bCs/>
      <w:lang w:val="uk-UA" w:eastAsia="uk-UA" w:bidi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4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4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509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1"/>
    <w:rsid w:val="0035099D"/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30">
    <w:name w:val="Заголовок 3 Знак"/>
    <w:basedOn w:val="a0"/>
    <w:link w:val="3"/>
    <w:uiPriority w:val="1"/>
    <w:rsid w:val="0035099D"/>
    <w:rPr>
      <w:rFonts w:ascii="Trebuchet MS" w:eastAsia="Trebuchet MS" w:hAnsi="Trebuchet MS" w:cs="Trebuchet MS"/>
      <w:b/>
      <w:bCs/>
      <w:lang w:val="uk-UA" w:eastAsia="uk-UA" w:bidi="uk-UA"/>
    </w:rPr>
  </w:style>
  <w:style w:type="paragraph" w:styleId="a5">
    <w:name w:val="List Paragraph"/>
    <w:basedOn w:val="a"/>
    <w:uiPriority w:val="1"/>
    <w:qFormat/>
    <w:rsid w:val="0035099D"/>
    <w:pPr>
      <w:widowControl w:val="0"/>
      <w:autoSpaceDE w:val="0"/>
      <w:autoSpaceDN w:val="0"/>
      <w:spacing w:after="0" w:line="240" w:lineRule="auto"/>
      <w:ind w:left="234" w:firstLine="284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35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9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5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099D"/>
  </w:style>
  <w:style w:type="paragraph" w:styleId="aa">
    <w:name w:val="footer"/>
    <w:basedOn w:val="a"/>
    <w:link w:val="ab"/>
    <w:uiPriority w:val="99"/>
    <w:unhideWhenUsed/>
    <w:rsid w:val="0035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099D"/>
  </w:style>
  <w:style w:type="character" w:styleId="ac">
    <w:name w:val="Hyperlink"/>
    <w:basedOn w:val="a0"/>
    <w:uiPriority w:val="99"/>
    <w:unhideWhenUsed/>
    <w:rsid w:val="00B060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804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804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04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8044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Body Text Indent"/>
    <w:basedOn w:val="a"/>
    <w:link w:val="ae"/>
    <w:uiPriority w:val="99"/>
    <w:semiHidden/>
    <w:unhideWhenUsed/>
    <w:rsid w:val="00F8044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80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chart" Target="charts/chart5.xml"/><Relationship Id="rId84" Type="http://schemas.openxmlformats.org/officeDocument/2006/relationships/image" Target="media/image35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71.bin"/><Relationship Id="rId170" Type="http://schemas.openxmlformats.org/officeDocument/2006/relationships/image" Target="media/image78.wmf"/><Relationship Id="rId107" Type="http://schemas.openxmlformats.org/officeDocument/2006/relationships/oleObject" Target="embeddings/oleObject4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0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6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39.bin"/><Relationship Id="rId160" Type="http://schemas.openxmlformats.org/officeDocument/2006/relationships/image" Target="media/image73.wmf"/><Relationship Id="rId181" Type="http://schemas.openxmlformats.org/officeDocument/2006/relationships/oleObject" Target="embeddings/oleObject82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chart" Target="charts/chart6.xml"/><Relationship Id="rId118" Type="http://schemas.openxmlformats.org/officeDocument/2006/relationships/image" Target="media/image52.wmf"/><Relationship Id="rId139" Type="http://schemas.openxmlformats.org/officeDocument/2006/relationships/oleObject" Target="embeddings/oleObject61.bin"/><Relationship Id="rId85" Type="http://schemas.openxmlformats.org/officeDocument/2006/relationships/oleObject" Target="embeddings/oleObject34.bin"/><Relationship Id="rId150" Type="http://schemas.openxmlformats.org/officeDocument/2006/relationships/image" Target="media/image68.wmf"/><Relationship Id="rId171" Type="http://schemas.openxmlformats.org/officeDocument/2006/relationships/oleObject" Target="embeddings/oleObject77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7.wmf"/><Relationship Id="rId129" Type="http://schemas.openxmlformats.org/officeDocument/2006/relationships/oleObject" Target="embeddings/oleObject56.bin"/><Relationship Id="rId54" Type="http://schemas.openxmlformats.org/officeDocument/2006/relationships/chart" Target="charts/chart1.xml"/><Relationship Id="rId75" Type="http://schemas.openxmlformats.org/officeDocument/2006/relationships/oleObject" Target="embeddings/oleObject29.bin"/><Relationship Id="rId96" Type="http://schemas.openxmlformats.org/officeDocument/2006/relationships/image" Target="media/image41.wmf"/><Relationship Id="rId140" Type="http://schemas.openxmlformats.org/officeDocument/2006/relationships/image" Target="media/image63.wmf"/><Relationship Id="rId161" Type="http://schemas.openxmlformats.org/officeDocument/2006/relationships/oleObject" Target="embeddings/oleObject72.bin"/><Relationship Id="rId182" Type="http://schemas.openxmlformats.org/officeDocument/2006/relationships/image" Target="media/image84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1.bin"/><Relationship Id="rId44" Type="http://schemas.openxmlformats.org/officeDocument/2006/relationships/image" Target="media/image19.wmf"/><Relationship Id="rId65" Type="http://schemas.openxmlformats.org/officeDocument/2006/relationships/chart" Target="charts/chart7.xml"/><Relationship Id="rId86" Type="http://schemas.openxmlformats.org/officeDocument/2006/relationships/image" Target="media/image36.wmf"/><Relationship Id="rId130" Type="http://schemas.openxmlformats.org/officeDocument/2006/relationships/image" Target="media/image58.wmf"/><Relationship Id="rId151" Type="http://schemas.openxmlformats.org/officeDocument/2006/relationships/oleObject" Target="embeddings/oleObject67.bin"/><Relationship Id="rId172" Type="http://schemas.openxmlformats.org/officeDocument/2006/relationships/image" Target="media/image79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1.wmf"/><Relationship Id="rId97" Type="http://schemas.openxmlformats.org/officeDocument/2006/relationships/oleObject" Target="embeddings/oleObject40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54.bin"/><Relationship Id="rId141" Type="http://schemas.openxmlformats.org/officeDocument/2006/relationships/oleObject" Target="embeddings/oleObject62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75.bin"/><Relationship Id="rId188" Type="http://schemas.openxmlformats.org/officeDocument/2006/relationships/glossaryDocument" Target="glossary/document.xml"/><Relationship Id="rId7" Type="http://schemas.openxmlformats.org/officeDocument/2006/relationships/endnotes" Target="endnotes.xml"/><Relationship Id="rId71" Type="http://schemas.openxmlformats.org/officeDocument/2006/relationships/oleObject" Target="embeddings/oleObject27.bin"/><Relationship Id="rId92" Type="http://schemas.openxmlformats.org/officeDocument/2006/relationships/image" Target="media/image39.wmf"/><Relationship Id="rId162" Type="http://schemas.openxmlformats.org/officeDocument/2006/relationships/image" Target="media/image74.wmf"/><Relationship Id="rId183" Type="http://schemas.openxmlformats.org/officeDocument/2006/relationships/oleObject" Target="embeddings/oleObject8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6.wmf"/><Relationship Id="rId87" Type="http://schemas.openxmlformats.org/officeDocument/2006/relationships/oleObject" Target="embeddings/oleObject35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49.bin"/><Relationship Id="rId131" Type="http://schemas.openxmlformats.org/officeDocument/2006/relationships/oleObject" Target="embeddings/oleObject57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70.bin"/><Relationship Id="rId178" Type="http://schemas.openxmlformats.org/officeDocument/2006/relationships/image" Target="media/image82.wmf"/><Relationship Id="rId61" Type="http://schemas.openxmlformats.org/officeDocument/2006/relationships/oleObject" Target="embeddings/Microsoft_Excel_Chart1.xls"/><Relationship Id="rId82" Type="http://schemas.openxmlformats.org/officeDocument/2006/relationships/image" Target="media/image34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7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chart" Target="charts/chart2.xml"/><Relationship Id="rId77" Type="http://schemas.openxmlformats.org/officeDocument/2006/relationships/oleObject" Target="embeddings/oleObject30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44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65.bin"/><Relationship Id="rId168" Type="http://schemas.openxmlformats.org/officeDocument/2006/relationships/image" Target="media/image77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29.wmf"/><Relationship Id="rId93" Type="http://schemas.openxmlformats.org/officeDocument/2006/relationships/oleObject" Target="embeddings/oleObject38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52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73.bin"/><Relationship Id="rId184" Type="http://schemas.openxmlformats.org/officeDocument/2006/relationships/hyperlink" Target="https://tigerweb.towson.edu/ladon/enrich/mechwrit.htm" TargetMode="External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5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60.bin"/><Relationship Id="rId158" Type="http://schemas.openxmlformats.org/officeDocument/2006/relationships/image" Target="media/image7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Microsoft_Excel_Chart2.xls"/><Relationship Id="rId83" Type="http://schemas.openxmlformats.org/officeDocument/2006/relationships/oleObject" Target="embeddings/oleObject33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47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68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8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chart" Target="charts/chart3.xml"/><Relationship Id="rId106" Type="http://schemas.openxmlformats.org/officeDocument/2006/relationships/image" Target="media/image46.wmf"/><Relationship Id="rId127" Type="http://schemas.openxmlformats.org/officeDocument/2006/relationships/oleObject" Target="embeddings/oleObject5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28.bin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63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76.bin"/><Relationship Id="rId185" Type="http://schemas.openxmlformats.org/officeDocument/2006/relationships/hyperlink" Target="http://organic.chem.univ.kiev.ua/upload/metod_mech_org_reactions_in_solutions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3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27.wmf"/><Relationship Id="rId89" Type="http://schemas.openxmlformats.org/officeDocument/2006/relationships/oleObject" Target="embeddings/oleObject36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58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79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chart" Target="charts/chart4.xml"/><Relationship Id="rId79" Type="http://schemas.openxmlformats.org/officeDocument/2006/relationships/oleObject" Target="embeddings/oleObject31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53.bin"/><Relationship Id="rId144" Type="http://schemas.openxmlformats.org/officeDocument/2006/relationships/image" Target="media/image65.wmf"/><Relationship Id="rId90" Type="http://schemas.openxmlformats.org/officeDocument/2006/relationships/image" Target="media/image38.wmf"/><Relationship Id="rId165" Type="http://schemas.openxmlformats.org/officeDocument/2006/relationships/oleObject" Target="embeddings/oleObject74.bin"/><Relationship Id="rId186" Type="http://schemas.openxmlformats.org/officeDocument/2006/relationships/header" Target="header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26.bin"/><Relationship Id="rId113" Type="http://schemas.openxmlformats.org/officeDocument/2006/relationships/oleObject" Target="embeddings/oleObject48.bin"/><Relationship Id="rId134" Type="http://schemas.openxmlformats.org/officeDocument/2006/relationships/image" Target="media/image60.wmf"/><Relationship Id="rId80" Type="http://schemas.openxmlformats.org/officeDocument/2006/relationships/image" Target="media/image33.wmf"/><Relationship Id="rId155" Type="http://schemas.openxmlformats.org/officeDocument/2006/relationships/oleObject" Target="embeddings/oleObject69.bin"/><Relationship Id="rId176" Type="http://schemas.openxmlformats.org/officeDocument/2006/relationships/image" Target="media/image81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4.png"/><Relationship Id="rId103" Type="http://schemas.openxmlformats.org/officeDocument/2006/relationships/oleObject" Target="embeddings/oleObject43.bin"/><Relationship Id="rId124" Type="http://schemas.openxmlformats.org/officeDocument/2006/relationships/image" Target="media/image55.wmf"/><Relationship Id="rId70" Type="http://schemas.openxmlformats.org/officeDocument/2006/relationships/image" Target="media/image28.wmf"/><Relationship Id="rId91" Type="http://schemas.openxmlformats.org/officeDocument/2006/relationships/oleObject" Target="embeddings/oleObject37.bin"/><Relationship Id="rId145" Type="http://schemas.openxmlformats.org/officeDocument/2006/relationships/oleObject" Target="embeddings/oleObject64.bin"/><Relationship Id="rId166" Type="http://schemas.openxmlformats.org/officeDocument/2006/relationships/image" Target="media/image76.wmf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0.wmf"/><Relationship Id="rId60" Type="http://schemas.openxmlformats.org/officeDocument/2006/relationships/image" Target="media/image25.png"/><Relationship Id="rId81" Type="http://schemas.openxmlformats.org/officeDocument/2006/relationships/oleObject" Target="embeddings/oleObject32.bin"/><Relationship Id="rId135" Type="http://schemas.openxmlformats.org/officeDocument/2006/relationships/oleObject" Target="embeddings/oleObject59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80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608695652173918E-2"/>
          <c:y val="7.1225071225071226E-2"/>
          <c:w val="0.82608695652173914"/>
          <c:h val="0.8034188034188034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72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numRef>
              <c:f>Sheet1!$B$1:$G$1</c:f>
              <c:numCache>
                <c:formatCode>General</c:formatCode>
                <c:ptCount val="6"/>
                <c:pt idx="0">
                  <c:v>0</c:v>
                </c:pt>
                <c:pt idx="1">
                  <c:v>1.5</c:v>
                </c:pt>
                <c:pt idx="2">
                  <c:v>2</c:v>
                </c:pt>
                <c:pt idx="3">
                  <c:v>2</c:v>
                </c:pt>
                <c:pt idx="4">
                  <c:v>10</c:v>
                </c:pt>
                <c:pt idx="5">
                  <c:v>10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1">
                  <c:v>3.36</c:v>
                </c:pt>
                <c:pt idx="2">
                  <c:v>3.96</c:v>
                </c:pt>
                <c:pt idx="3">
                  <c:v>8</c:v>
                </c:pt>
                <c:pt idx="4">
                  <c:v>2.37</c:v>
                </c:pt>
                <c:pt idx="5">
                  <c:v>1.58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672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Sheet1!$B$1:$G$1</c:f>
              <c:numCache>
                <c:formatCode>General</c:formatCode>
                <c:ptCount val="6"/>
                <c:pt idx="0">
                  <c:v>0</c:v>
                </c:pt>
                <c:pt idx="1">
                  <c:v>1.5</c:v>
                </c:pt>
                <c:pt idx="2">
                  <c:v>2</c:v>
                </c:pt>
                <c:pt idx="3">
                  <c:v>2</c:v>
                </c:pt>
                <c:pt idx="4">
                  <c:v>10</c:v>
                </c:pt>
                <c:pt idx="5">
                  <c:v>10</c:v>
                </c:pt>
              </c:numCache>
            </c:num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  <c:smooth val="1"/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672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Sheet1!$B$1:$G$1</c:f>
              <c:numCache>
                <c:formatCode>General</c:formatCode>
                <c:ptCount val="6"/>
                <c:pt idx="0">
                  <c:v>0</c:v>
                </c:pt>
                <c:pt idx="1">
                  <c:v>1.5</c:v>
                </c:pt>
                <c:pt idx="2">
                  <c:v>2</c:v>
                </c:pt>
                <c:pt idx="3">
                  <c:v>2</c:v>
                </c:pt>
                <c:pt idx="4">
                  <c:v>10</c:v>
                </c:pt>
                <c:pt idx="5">
                  <c:v>10</c:v>
                </c:pt>
              </c:numCache>
            </c:num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4514304"/>
        <c:axId val="493668032"/>
      </c:lineChart>
      <c:catAx>
        <c:axId val="5245143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97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Хід реакції</a:t>
                </a:r>
              </a:p>
            </c:rich>
          </c:tx>
          <c:layout>
            <c:manualLayout>
              <c:xMode val="edge"/>
              <c:yMode val="edge"/>
              <c:x val="0.37913043478260872"/>
              <c:y val="0.87179487179487181"/>
            </c:manualLayout>
          </c:layout>
          <c:overlay val="0"/>
          <c:spPr>
            <a:noFill/>
            <a:ln w="25345">
              <a:noFill/>
            </a:ln>
          </c:spPr>
        </c:title>
        <c:numFmt formatCode="General" sourceLinked="1"/>
        <c:majorTickMark val="none"/>
        <c:minorTickMark val="none"/>
        <c:tickLblPos val="none"/>
        <c:spPr>
          <a:ln w="12672">
            <a:solidFill>
              <a:srgbClr val="000000"/>
            </a:solidFill>
            <a:prstDash val="solid"/>
          </a:ln>
        </c:spPr>
        <c:crossAx val="493668032"/>
        <c:crosses val="autoZero"/>
        <c:auto val="0"/>
        <c:lblAlgn val="ctr"/>
        <c:lblOffset val="100"/>
        <c:tickMarkSkip val="1"/>
        <c:noMultiLvlLbl val="0"/>
      </c:catAx>
      <c:valAx>
        <c:axId val="493668032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1197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Е</a:t>
                </a:r>
              </a:p>
            </c:rich>
          </c:tx>
          <c:layout>
            <c:manualLayout>
              <c:xMode val="edge"/>
              <c:yMode val="edge"/>
              <c:x val="2.2608695652173914E-2"/>
              <c:y val="5.128205128205128E-2"/>
            </c:manualLayout>
          </c:layout>
          <c:overlay val="0"/>
          <c:spPr>
            <a:noFill/>
            <a:ln w="25345">
              <a:noFill/>
            </a:ln>
          </c:spPr>
        </c:title>
        <c:numFmt formatCode="General" sourceLinked="1"/>
        <c:majorTickMark val="none"/>
        <c:minorTickMark val="none"/>
        <c:tickLblPos val="none"/>
        <c:spPr>
          <a:ln w="3168">
            <a:solidFill>
              <a:srgbClr val="000000"/>
            </a:solidFill>
            <a:prstDash val="solid"/>
          </a:ln>
        </c:spPr>
        <c:crossAx val="524514304"/>
        <c:crosses val="autoZero"/>
        <c:crossBetween val="midCat"/>
      </c:valAx>
      <c:spPr>
        <a:noFill/>
        <a:ln w="2534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097901756885531E-3"/>
          <c:y val="1.3989306792822633E-3"/>
          <c:w val="0.88190476190476186"/>
          <c:h val="0.763076923076923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77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numRef>
              <c:f>Sheet1!$B$1:$I$1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4</c:v>
                </c:pt>
                <c:pt idx="5">
                  <c:v>6</c:v>
                </c:pt>
                <c:pt idx="6">
                  <c:v>8</c:v>
                </c:pt>
                <c:pt idx="7">
                  <c:v>10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1">
                  <c:v>2.8</c:v>
                </c:pt>
                <c:pt idx="2">
                  <c:v>3.47</c:v>
                </c:pt>
                <c:pt idx="3">
                  <c:v>7.84</c:v>
                </c:pt>
                <c:pt idx="4">
                  <c:v>6.13</c:v>
                </c:pt>
                <c:pt idx="5">
                  <c:v>6.93</c:v>
                </c:pt>
                <c:pt idx="6">
                  <c:v>2</c:v>
                </c:pt>
                <c:pt idx="7">
                  <c:v>1.3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677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Sheet1!$B$1:$I$1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4</c:v>
                </c:pt>
                <c:pt idx="5">
                  <c:v>6</c:v>
                </c:pt>
                <c:pt idx="6">
                  <c:v>8</c:v>
                </c:pt>
                <c:pt idx="7">
                  <c:v>10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</c:numCache>
            </c:numRef>
          </c:val>
          <c:smooth val="1"/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677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Sheet1!$B$1:$I$1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4</c:v>
                </c:pt>
                <c:pt idx="5">
                  <c:v>6</c:v>
                </c:pt>
                <c:pt idx="6">
                  <c:v>8</c:v>
                </c:pt>
                <c:pt idx="7">
                  <c:v>10</c:v>
                </c:pt>
              </c:numCache>
            </c:num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7624192"/>
        <c:axId val="493669760"/>
      </c:lineChart>
      <c:catAx>
        <c:axId val="5276241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Хід реакції</a:t>
                </a:r>
              </a:p>
            </c:rich>
          </c:tx>
          <c:layout>
            <c:manualLayout>
              <c:xMode val="edge"/>
              <c:yMode val="edge"/>
              <c:x val="0.40190476190476193"/>
              <c:y val="0.87384615384615383"/>
            </c:manualLayout>
          </c:layout>
          <c:overlay val="0"/>
          <c:spPr>
            <a:noFill/>
            <a:ln w="25353">
              <a:noFill/>
            </a:ln>
          </c:spPr>
        </c:title>
        <c:numFmt formatCode="General" sourceLinked="1"/>
        <c:majorTickMark val="none"/>
        <c:minorTickMark val="none"/>
        <c:tickLblPos val="none"/>
        <c:spPr>
          <a:ln w="3169">
            <a:solidFill>
              <a:srgbClr val="000000"/>
            </a:solidFill>
            <a:prstDash val="solid"/>
          </a:ln>
        </c:spPr>
        <c:crossAx val="493669760"/>
        <c:crosses val="autoZero"/>
        <c:auto val="0"/>
        <c:lblAlgn val="ctr"/>
        <c:lblOffset val="100"/>
        <c:tickMarkSkip val="1"/>
        <c:noMultiLvlLbl val="0"/>
      </c:catAx>
      <c:valAx>
        <c:axId val="493669760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119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Е</a:t>
                </a:r>
              </a:p>
            </c:rich>
          </c:tx>
          <c:layout>
            <c:manualLayout>
              <c:xMode val="edge"/>
              <c:yMode val="edge"/>
              <c:x val="2.2857142857142857E-2"/>
              <c:y val="8.9230769230769225E-2"/>
            </c:manualLayout>
          </c:layout>
          <c:overlay val="0"/>
          <c:spPr>
            <a:noFill/>
            <a:ln w="25353">
              <a:noFill/>
            </a:ln>
          </c:spPr>
        </c:title>
        <c:numFmt formatCode="General" sourceLinked="1"/>
        <c:majorTickMark val="none"/>
        <c:minorTickMark val="none"/>
        <c:tickLblPos val="none"/>
        <c:spPr>
          <a:ln w="3169">
            <a:solidFill>
              <a:srgbClr val="000000"/>
            </a:solidFill>
            <a:prstDash val="solid"/>
          </a:ln>
        </c:spPr>
        <c:crossAx val="527624192"/>
        <c:crosses val="autoZero"/>
        <c:crossBetween val="midCat"/>
      </c:valAx>
      <c:spPr>
        <a:noFill/>
        <a:ln w="2535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49185667752444"/>
          <c:y val="0.12918660287081341"/>
          <c:w val="0.80781758957654726"/>
          <c:h val="0.67464114832535882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55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numRef>
              <c:f>Sheet1!$B$1:$I$1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  <c:pt idx="4">
                  <c:v>6</c:v>
                </c:pt>
                <c:pt idx="5">
                  <c:v>8</c:v>
                </c:pt>
                <c:pt idx="6">
                  <c:v>10</c:v>
                </c:pt>
                <c:pt idx="7">
                  <c:v>10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1">
                  <c:v>3.02</c:v>
                </c:pt>
                <c:pt idx="2">
                  <c:v>3.56</c:v>
                </c:pt>
                <c:pt idx="3">
                  <c:v>7.84</c:v>
                </c:pt>
                <c:pt idx="4">
                  <c:v>2.15</c:v>
                </c:pt>
                <c:pt idx="5">
                  <c:v>6.93</c:v>
                </c:pt>
                <c:pt idx="6">
                  <c:v>1.6</c:v>
                </c:pt>
                <c:pt idx="7">
                  <c:v>0.89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655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Sheet1!$B$1:$I$1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  <c:pt idx="4">
                  <c:v>6</c:v>
                </c:pt>
                <c:pt idx="5">
                  <c:v>8</c:v>
                </c:pt>
                <c:pt idx="6">
                  <c:v>10</c:v>
                </c:pt>
                <c:pt idx="7">
                  <c:v>10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</c:numCache>
            </c:numRef>
          </c:val>
          <c:smooth val="1"/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655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Sheet1!$B$1:$I$1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  <c:pt idx="4">
                  <c:v>6</c:v>
                </c:pt>
                <c:pt idx="5">
                  <c:v>8</c:v>
                </c:pt>
                <c:pt idx="6">
                  <c:v>10</c:v>
                </c:pt>
                <c:pt idx="7">
                  <c:v>10</c:v>
                </c:pt>
              </c:numCache>
            </c:num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1360768"/>
        <c:axId val="493671488"/>
      </c:lineChart>
      <c:catAx>
        <c:axId val="4913607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96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Хід реакції</a:t>
                </a:r>
              </a:p>
            </c:rich>
          </c:tx>
          <c:layout>
            <c:manualLayout>
              <c:xMode val="edge"/>
              <c:yMode val="edge"/>
              <c:x val="0.34853420195439738"/>
              <c:y val="0.79904306220095689"/>
            </c:manualLayout>
          </c:layout>
          <c:overlay val="0"/>
          <c:spPr>
            <a:noFill/>
            <a:ln w="25310">
              <a:noFill/>
            </a:ln>
          </c:spPr>
        </c:title>
        <c:numFmt formatCode="General" sourceLinked="1"/>
        <c:majorTickMark val="none"/>
        <c:minorTickMark val="none"/>
        <c:tickLblPos val="none"/>
        <c:spPr>
          <a:ln w="3164">
            <a:solidFill>
              <a:srgbClr val="000000"/>
            </a:solidFill>
            <a:prstDash val="solid"/>
          </a:ln>
        </c:spPr>
        <c:crossAx val="493671488"/>
        <c:crosses val="autoZero"/>
        <c:auto val="0"/>
        <c:lblAlgn val="ctr"/>
        <c:lblOffset val="100"/>
        <c:tickMarkSkip val="1"/>
        <c:noMultiLvlLbl val="0"/>
      </c:catAx>
      <c:valAx>
        <c:axId val="493671488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1196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Е</a:t>
                </a:r>
              </a:p>
            </c:rich>
          </c:tx>
          <c:layout>
            <c:manualLayout>
              <c:xMode val="edge"/>
              <c:yMode val="edge"/>
              <c:x val="3.9087947882736153E-2"/>
              <c:y val="0.16267942583732056"/>
            </c:manualLayout>
          </c:layout>
          <c:overlay val="0"/>
          <c:spPr>
            <a:noFill/>
            <a:ln w="25310">
              <a:noFill/>
            </a:ln>
          </c:spPr>
        </c:title>
        <c:numFmt formatCode="General" sourceLinked="1"/>
        <c:majorTickMark val="none"/>
        <c:minorTickMark val="none"/>
        <c:tickLblPos val="none"/>
        <c:spPr>
          <a:ln w="3164">
            <a:solidFill>
              <a:srgbClr val="000000"/>
            </a:solidFill>
            <a:prstDash val="solid"/>
          </a:ln>
        </c:spPr>
        <c:crossAx val="491360768"/>
        <c:crosses val="autoZero"/>
        <c:crossBetween val="midCat"/>
      </c:valAx>
      <c:spPr>
        <a:noFill/>
        <a:ln w="2531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6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49185667752444"/>
          <c:y val="5.2631578947368418E-2"/>
          <c:w val="0.8631921824104235"/>
          <c:h val="0.75598086124401909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39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numRef>
              <c:f>Sheet1!$B$1:$I$1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  <c:pt idx="4">
                  <c:v>6</c:v>
                </c:pt>
                <c:pt idx="5">
                  <c:v>8</c:v>
                </c:pt>
                <c:pt idx="6">
                  <c:v>10</c:v>
                </c:pt>
                <c:pt idx="7">
                  <c:v>10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1">
                  <c:v>3</c:v>
                </c:pt>
                <c:pt idx="2">
                  <c:v>3.58</c:v>
                </c:pt>
                <c:pt idx="3">
                  <c:v>7.84</c:v>
                </c:pt>
                <c:pt idx="4">
                  <c:v>2.15</c:v>
                </c:pt>
                <c:pt idx="5">
                  <c:v>10.47</c:v>
                </c:pt>
                <c:pt idx="6">
                  <c:v>1.77</c:v>
                </c:pt>
                <c:pt idx="7">
                  <c:v>0.8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639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Sheet1!$B$1:$I$1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  <c:pt idx="4">
                  <c:v>6</c:v>
                </c:pt>
                <c:pt idx="5">
                  <c:v>8</c:v>
                </c:pt>
                <c:pt idx="6">
                  <c:v>10</c:v>
                </c:pt>
                <c:pt idx="7">
                  <c:v>10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</c:numCache>
            </c:numRef>
          </c:val>
          <c:smooth val="1"/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639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Sheet1!$B$1:$I$1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  <c:pt idx="4">
                  <c:v>6</c:v>
                </c:pt>
                <c:pt idx="5">
                  <c:v>8</c:v>
                </c:pt>
                <c:pt idx="6">
                  <c:v>10</c:v>
                </c:pt>
                <c:pt idx="7">
                  <c:v>10</c:v>
                </c:pt>
              </c:numCache>
            </c:num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7831040"/>
        <c:axId val="521077888"/>
      </c:lineChart>
      <c:catAx>
        <c:axId val="5278310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9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Хід реакції</a:t>
                </a:r>
              </a:p>
            </c:rich>
          </c:tx>
          <c:layout>
            <c:manualLayout>
              <c:xMode val="edge"/>
              <c:yMode val="edge"/>
              <c:x val="0.37133550488599348"/>
              <c:y val="0.80382775119617222"/>
            </c:manualLayout>
          </c:layout>
          <c:overlay val="0"/>
          <c:spPr>
            <a:noFill/>
            <a:ln w="25278">
              <a:noFill/>
            </a:ln>
          </c:spPr>
        </c:title>
        <c:numFmt formatCode="General" sourceLinked="1"/>
        <c:majorTickMark val="none"/>
        <c:minorTickMark val="none"/>
        <c:tickLblPos val="none"/>
        <c:spPr>
          <a:ln w="3160">
            <a:solidFill>
              <a:srgbClr val="000000"/>
            </a:solidFill>
            <a:prstDash val="solid"/>
          </a:ln>
        </c:spPr>
        <c:crossAx val="521077888"/>
        <c:crosses val="autoZero"/>
        <c:auto val="0"/>
        <c:lblAlgn val="ctr"/>
        <c:lblOffset val="100"/>
        <c:tickMarkSkip val="1"/>
        <c:noMultiLvlLbl val="0"/>
      </c:catAx>
      <c:valAx>
        <c:axId val="521077888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119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Е</a:t>
                </a:r>
              </a:p>
            </c:rich>
          </c:tx>
          <c:layout>
            <c:manualLayout>
              <c:xMode val="edge"/>
              <c:yMode val="edge"/>
              <c:x val="3.9087947882736153E-2"/>
              <c:y val="0"/>
            </c:manualLayout>
          </c:layout>
          <c:overlay val="0"/>
          <c:spPr>
            <a:noFill/>
            <a:ln w="25278">
              <a:noFill/>
            </a:ln>
          </c:spPr>
        </c:title>
        <c:numFmt formatCode="General" sourceLinked="1"/>
        <c:majorTickMark val="none"/>
        <c:minorTickMark val="none"/>
        <c:tickLblPos val="none"/>
        <c:spPr>
          <a:ln w="3160">
            <a:solidFill>
              <a:srgbClr val="000000"/>
            </a:solidFill>
            <a:prstDash val="solid"/>
          </a:ln>
        </c:spPr>
        <c:crossAx val="527831040"/>
        <c:crosses val="autoZero"/>
        <c:crossBetween val="midCat"/>
      </c:valAx>
      <c:spPr>
        <a:noFill/>
        <a:ln w="2527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669838475628612E-2"/>
          <c:y val="0.14849422540441212"/>
          <c:w val="0.9123809523809524"/>
          <c:h val="0.83692307692307688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87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numRef>
              <c:f>Sheet1!$B$1:$I$1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  <c:pt idx="4">
                  <c:v>6</c:v>
                </c:pt>
                <c:pt idx="5">
                  <c:v>8</c:v>
                </c:pt>
                <c:pt idx="6">
                  <c:v>8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1">
                  <c:v>3</c:v>
                </c:pt>
                <c:pt idx="2">
                  <c:v>3.56</c:v>
                </c:pt>
                <c:pt idx="3">
                  <c:v>7.84</c:v>
                </c:pt>
                <c:pt idx="4">
                  <c:v>1.83</c:v>
                </c:pt>
                <c:pt idx="5">
                  <c:v>1.1599999999999999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687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Sheet1!$B$1:$I$1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  <c:pt idx="4">
                  <c:v>6</c:v>
                </c:pt>
                <c:pt idx="5">
                  <c:v>8</c:v>
                </c:pt>
                <c:pt idx="6">
                  <c:v>8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1">
                  <c:v>3</c:v>
                </c:pt>
                <c:pt idx="2">
                  <c:v>3.21</c:v>
                </c:pt>
                <c:pt idx="3">
                  <c:v>4.5</c:v>
                </c:pt>
                <c:pt idx="4">
                  <c:v>8.5</c:v>
                </c:pt>
                <c:pt idx="5">
                  <c:v>3.02</c:v>
                </c:pt>
                <c:pt idx="6">
                  <c:v>2.36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687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Sheet1!$B$1:$I$1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  <c:pt idx="4">
                  <c:v>6</c:v>
                </c:pt>
                <c:pt idx="5">
                  <c:v>8</c:v>
                </c:pt>
                <c:pt idx="6">
                  <c:v>8</c:v>
                </c:pt>
              </c:numCache>
            </c:num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1363328"/>
        <c:axId val="521079616"/>
      </c:lineChart>
      <c:catAx>
        <c:axId val="4913633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Хід реакції</a:t>
                </a:r>
              </a:p>
            </c:rich>
          </c:tx>
          <c:layout>
            <c:manualLayout>
              <c:xMode val="edge"/>
              <c:yMode val="edge"/>
              <c:x val="0.41714285714285715"/>
              <c:y val="0.87076923076923074"/>
            </c:manualLayout>
          </c:layout>
          <c:overlay val="0"/>
          <c:spPr>
            <a:noFill/>
            <a:ln w="25373">
              <a:noFill/>
            </a:ln>
          </c:spPr>
        </c:title>
        <c:numFmt formatCode="General" sourceLinked="1"/>
        <c:majorTickMark val="none"/>
        <c:minorTickMark val="none"/>
        <c:tickLblPos val="none"/>
        <c:spPr>
          <a:ln w="3172">
            <a:solidFill>
              <a:srgbClr val="000000"/>
            </a:solidFill>
            <a:prstDash val="solid"/>
          </a:ln>
        </c:spPr>
        <c:crossAx val="521079616"/>
        <c:crosses val="autoZero"/>
        <c:auto val="0"/>
        <c:lblAlgn val="ctr"/>
        <c:lblOffset val="100"/>
        <c:tickMarkSkip val="1"/>
        <c:noMultiLvlLbl val="0"/>
      </c:catAx>
      <c:valAx>
        <c:axId val="521079616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11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Е</a:t>
                </a:r>
              </a:p>
            </c:rich>
          </c:tx>
          <c:layout>
            <c:manualLayout>
              <c:xMode val="edge"/>
              <c:yMode val="edge"/>
              <c:x val="2.4761904761904763E-2"/>
              <c:y val="1.5384615384615385E-2"/>
            </c:manualLayout>
          </c:layout>
          <c:overlay val="0"/>
          <c:spPr>
            <a:noFill/>
            <a:ln w="25373">
              <a:noFill/>
            </a:ln>
          </c:spPr>
        </c:title>
        <c:numFmt formatCode="General" sourceLinked="1"/>
        <c:majorTickMark val="none"/>
        <c:minorTickMark val="none"/>
        <c:tickLblPos val="none"/>
        <c:spPr>
          <a:ln w="3172">
            <a:solidFill>
              <a:srgbClr val="000000"/>
            </a:solidFill>
            <a:prstDash val="solid"/>
          </a:ln>
        </c:spPr>
        <c:crossAx val="491363328"/>
        <c:crosses val="autoZero"/>
        <c:crossBetween val="midCat"/>
      </c:valAx>
      <c:spPr>
        <a:noFill/>
        <a:ln w="2537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571428571428575E-2"/>
          <c:y val="3.6923076923076927E-2"/>
          <c:w val="0.9123809523809524"/>
          <c:h val="0.83692307692307688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87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numRef>
              <c:f>Sheet1!$B$1:$K$1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  <c:pt idx="4">
                  <c:v>6</c:v>
                </c:pt>
                <c:pt idx="5">
                  <c:v>8</c:v>
                </c:pt>
                <c:pt idx="6">
                  <c:v>10</c:v>
                </c:pt>
                <c:pt idx="8">
                  <c:v>12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1">
                  <c:v>3</c:v>
                </c:pt>
                <c:pt idx="2">
                  <c:v>3.56</c:v>
                </c:pt>
                <c:pt idx="3">
                  <c:v>8.25</c:v>
                </c:pt>
                <c:pt idx="4">
                  <c:v>1.83</c:v>
                </c:pt>
                <c:pt idx="5">
                  <c:v>1.06</c:v>
                </c:pt>
                <c:pt idx="6">
                  <c:v>0.97</c:v>
                </c:pt>
                <c:pt idx="7">
                  <c:v>0.95</c:v>
                </c:pt>
                <c:pt idx="8">
                  <c:v>0.95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687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Sheet1!$B$1:$K$1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  <c:pt idx="4">
                  <c:v>6</c:v>
                </c:pt>
                <c:pt idx="5">
                  <c:v>8</c:v>
                </c:pt>
                <c:pt idx="6">
                  <c:v>10</c:v>
                </c:pt>
                <c:pt idx="8">
                  <c:v>12</c:v>
                </c:pt>
              </c:numCache>
            </c:numRef>
          </c:cat>
          <c:val>
            <c:numRef>
              <c:f>Sheet1!$B$3:$K$3</c:f>
              <c:numCache>
                <c:formatCode>General</c:formatCode>
                <c:ptCount val="10"/>
                <c:pt idx="1">
                  <c:v>3</c:v>
                </c:pt>
                <c:pt idx="2">
                  <c:v>3.15</c:v>
                </c:pt>
                <c:pt idx="3">
                  <c:v>4</c:v>
                </c:pt>
                <c:pt idx="4">
                  <c:v>6</c:v>
                </c:pt>
                <c:pt idx="5">
                  <c:v>2</c:v>
                </c:pt>
                <c:pt idx="6">
                  <c:v>7.1</c:v>
                </c:pt>
                <c:pt idx="7">
                  <c:v>1.7</c:v>
                </c:pt>
                <c:pt idx="8">
                  <c:v>0.95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687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Sheet1!$B$1:$K$1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  <c:pt idx="4">
                  <c:v>6</c:v>
                </c:pt>
                <c:pt idx="5">
                  <c:v>8</c:v>
                </c:pt>
                <c:pt idx="6">
                  <c:v>10</c:v>
                </c:pt>
                <c:pt idx="8">
                  <c:v>12</c:v>
                </c:pt>
              </c:numCache>
            </c:numRef>
          </c:cat>
          <c:val>
            <c:numRef>
              <c:f>Sheet1!$B$4:$K$4</c:f>
              <c:numCache>
                <c:formatCode>General</c:formatCode>
                <c:ptCount val="10"/>
                <c:pt idx="5">
                  <c:v>2</c:v>
                </c:pt>
                <c:pt idx="6">
                  <c:v>3.97</c:v>
                </c:pt>
                <c:pt idx="7">
                  <c:v>1.5</c:v>
                </c:pt>
                <c:pt idx="8">
                  <c:v>0.95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1363840"/>
        <c:axId val="521081344"/>
      </c:lineChart>
      <c:catAx>
        <c:axId val="4913638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Хід реакції</a:t>
                </a:r>
              </a:p>
            </c:rich>
          </c:tx>
          <c:layout>
            <c:manualLayout>
              <c:xMode val="edge"/>
              <c:yMode val="edge"/>
              <c:x val="0.41714285714285715"/>
              <c:y val="0.87076923076923074"/>
            </c:manualLayout>
          </c:layout>
          <c:overlay val="0"/>
          <c:spPr>
            <a:noFill/>
            <a:ln w="25373">
              <a:noFill/>
            </a:ln>
          </c:spPr>
        </c:title>
        <c:numFmt formatCode="General" sourceLinked="1"/>
        <c:majorTickMark val="none"/>
        <c:minorTickMark val="none"/>
        <c:tickLblPos val="none"/>
        <c:spPr>
          <a:ln w="3172">
            <a:solidFill>
              <a:srgbClr val="000000"/>
            </a:solidFill>
            <a:prstDash val="solid"/>
          </a:ln>
        </c:spPr>
        <c:crossAx val="521081344"/>
        <c:crosses val="autoZero"/>
        <c:auto val="0"/>
        <c:lblAlgn val="ctr"/>
        <c:lblOffset val="100"/>
        <c:tickMarkSkip val="1"/>
        <c:noMultiLvlLbl val="0"/>
      </c:catAx>
      <c:valAx>
        <c:axId val="521081344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11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Е</a:t>
                </a:r>
              </a:p>
            </c:rich>
          </c:tx>
          <c:layout>
            <c:manualLayout>
              <c:xMode val="edge"/>
              <c:yMode val="edge"/>
              <c:x val="2.4761904761904763E-2"/>
              <c:y val="1.5384615384615385E-2"/>
            </c:manualLayout>
          </c:layout>
          <c:overlay val="0"/>
          <c:spPr>
            <a:noFill/>
            <a:ln w="25373">
              <a:noFill/>
            </a:ln>
          </c:spPr>
        </c:title>
        <c:numFmt formatCode="General" sourceLinked="1"/>
        <c:majorTickMark val="none"/>
        <c:minorTickMark val="none"/>
        <c:tickLblPos val="none"/>
        <c:spPr>
          <a:ln w="3172">
            <a:solidFill>
              <a:srgbClr val="000000"/>
            </a:solidFill>
            <a:prstDash val="solid"/>
          </a:ln>
        </c:spPr>
        <c:crossAx val="491363840"/>
        <c:crosses val="autoZero"/>
        <c:crossBetween val="midCat"/>
      </c:valAx>
      <c:spPr>
        <a:noFill/>
        <a:ln w="2537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571428571428575E-2"/>
          <c:y val="3.6923076923076927E-2"/>
          <c:w val="0.9123809523809524"/>
          <c:h val="0.83692307692307688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87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numRef>
              <c:f>Sheet1!$B$1:$K$1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6</c:v>
                </c:pt>
                <c:pt idx="5">
                  <c:v>8</c:v>
                </c:pt>
                <c:pt idx="6">
                  <c:v>10</c:v>
                </c:pt>
                <c:pt idx="7">
                  <c:v>11</c:v>
                </c:pt>
                <c:pt idx="8">
                  <c:v>12</c:v>
                </c:pt>
                <c:pt idx="9">
                  <c:v>13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1">
                  <c:v>3.14</c:v>
                </c:pt>
                <c:pt idx="2">
                  <c:v>3.7909999999999999</c:v>
                </c:pt>
                <c:pt idx="3">
                  <c:v>6.89</c:v>
                </c:pt>
                <c:pt idx="4">
                  <c:v>9.6300000000000008</c:v>
                </c:pt>
                <c:pt idx="5">
                  <c:v>9.6300000000000008</c:v>
                </c:pt>
                <c:pt idx="6">
                  <c:v>7</c:v>
                </c:pt>
                <c:pt idx="7">
                  <c:v>3.82</c:v>
                </c:pt>
                <c:pt idx="8">
                  <c:v>1</c:v>
                </c:pt>
                <c:pt idx="9">
                  <c:v>0.7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687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Sheet1!$B$1:$K$1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6</c:v>
                </c:pt>
                <c:pt idx="5">
                  <c:v>8</c:v>
                </c:pt>
                <c:pt idx="6">
                  <c:v>10</c:v>
                </c:pt>
                <c:pt idx="7">
                  <c:v>11</c:v>
                </c:pt>
                <c:pt idx="8">
                  <c:v>12</c:v>
                </c:pt>
                <c:pt idx="9">
                  <c:v>13</c:v>
                </c:pt>
              </c:numCache>
            </c:numRef>
          </c:cat>
          <c:val>
            <c:numRef>
              <c:f>Sheet1!$B$3:$K$3</c:f>
              <c:numCache>
                <c:formatCode>General</c:formatCode>
                <c:ptCount val="10"/>
                <c:pt idx="1">
                  <c:v>3.14</c:v>
                </c:pt>
                <c:pt idx="2">
                  <c:v>3.4</c:v>
                </c:pt>
                <c:pt idx="3">
                  <c:v>5.34</c:v>
                </c:pt>
                <c:pt idx="4">
                  <c:v>3.76</c:v>
                </c:pt>
                <c:pt idx="5">
                  <c:v>6.56</c:v>
                </c:pt>
                <c:pt idx="6">
                  <c:v>4</c:v>
                </c:pt>
                <c:pt idx="7">
                  <c:v>3.26</c:v>
                </c:pt>
                <c:pt idx="8">
                  <c:v>1</c:v>
                </c:pt>
                <c:pt idx="9">
                  <c:v>0.68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4968448"/>
        <c:axId val="521083072"/>
      </c:lineChart>
      <c:catAx>
        <c:axId val="5249684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Хід реакції</a:t>
                </a:r>
              </a:p>
            </c:rich>
          </c:tx>
          <c:layout>
            <c:manualLayout>
              <c:xMode val="edge"/>
              <c:yMode val="edge"/>
              <c:x val="0.41714285714285715"/>
              <c:y val="0.87076923076923074"/>
            </c:manualLayout>
          </c:layout>
          <c:overlay val="0"/>
          <c:spPr>
            <a:noFill/>
            <a:ln w="25373">
              <a:noFill/>
            </a:ln>
          </c:spPr>
        </c:title>
        <c:numFmt formatCode="General" sourceLinked="1"/>
        <c:majorTickMark val="none"/>
        <c:minorTickMark val="none"/>
        <c:tickLblPos val="none"/>
        <c:spPr>
          <a:ln w="3172">
            <a:solidFill>
              <a:srgbClr val="000000"/>
            </a:solidFill>
            <a:prstDash val="solid"/>
          </a:ln>
        </c:spPr>
        <c:crossAx val="521083072"/>
        <c:crosses val="autoZero"/>
        <c:auto val="0"/>
        <c:lblAlgn val="ctr"/>
        <c:lblOffset val="100"/>
        <c:tickMarkSkip val="1"/>
        <c:noMultiLvlLbl val="0"/>
      </c:catAx>
      <c:valAx>
        <c:axId val="521083072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11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Е</a:t>
                </a:r>
              </a:p>
            </c:rich>
          </c:tx>
          <c:layout>
            <c:manualLayout>
              <c:xMode val="edge"/>
              <c:yMode val="edge"/>
              <c:x val="2.4761904761904763E-2"/>
              <c:y val="1.5384615384615385E-2"/>
            </c:manualLayout>
          </c:layout>
          <c:overlay val="0"/>
          <c:spPr>
            <a:noFill/>
            <a:ln w="25373">
              <a:noFill/>
            </a:ln>
          </c:spPr>
        </c:title>
        <c:numFmt formatCode="General" sourceLinked="1"/>
        <c:majorTickMark val="none"/>
        <c:minorTickMark val="none"/>
        <c:tickLblPos val="none"/>
        <c:spPr>
          <a:ln w="3172">
            <a:solidFill>
              <a:srgbClr val="000000"/>
            </a:solidFill>
            <a:prstDash val="solid"/>
          </a:ln>
        </c:spPr>
        <c:crossAx val="524968448"/>
        <c:crosses val="autoZero"/>
        <c:crossBetween val="midCat"/>
      </c:valAx>
      <c:spPr>
        <a:noFill/>
        <a:ln w="2537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0.28375</cdr:x>
      <cdr:y>0.56325</cdr:y>
    </cdr:from>
    <cdr:to>
      <cdr:x>0.629</cdr:x>
      <cdr:y>0.56325</cdr:y>
    </cdr:to>
    <cdr:sp macro="" textlink="">
      <cdr:nvSpPr>
        <cdr:cNvPr id="1028" name="Freeform 4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1554063" y="1883100"/>
          <a:ext cx="1890891" cy="0"/>
        </a:xfrm>
        <a:custGeom xmlns:a="http://schemas.openxmlformats.org/drawingml/2006/main">
          <a:avLst/>
          <a:gdLst>
            <a:gd name="T0" fmla="*/ 0 w 1893397"/>
            <a:gd name="T1" fmla="*/ 0 h 1"/>
            <a:gd name="T2" fmla="*/ 1893397 w 1893397"/>
            <a:gd name="T3" fmla="*/ 0 h 1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1893397" h="1">
              <a:moveTo>
                <a:pt x="0" y="0"/>
              </a:moveTo>
              <a:lnTo>
                <a:pt x="1893397" y="0"/>
              </a:lnTo>
            </a:path>
          </a:pathLst>
        </a:cu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 type="none" w="med" len="med"/>
          <a:tailEnd type="non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0.5505</cdr:x>
      <cdr:y>0.15975</cdr:y>
    </cdr:from>
    <cdr:to>
      <cdr:x>0.5505</cdr:x>
      <cdr:y>0.56725</cdr:y>
    </cdr:to>
    <cdr:sp macro="" textlink="">
      <cdr:nvSpPr>
        <cdr:cNvPr id="1030" name="Line 6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3015020" y="534088"/>
          <a:ext cx="0" cy="136238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 type="stealth" w="med" len="med"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0.425</cdr:x>
      <cdr:y>0.723</cdr:y>
    </cdr:from>
    <cdr:to>
      <cdr:x>0.815</cdr:x>
      <cdr:y>0.724</cdr:y>
    </cdr:to>
    <cdr:sp macro="" textlink="">
      <cdr:nvSpPr>
        <cdr:cNvPr id="1031" name="Freeform 7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2327672" y="2417188"/>
          <a:ext cx="2135981" cy="3343"/>
        </a:xfrm>
        <a:custGeom xmlns:a="http://schemas.openxmlformats.org/drawingml/2006/main">
          <a:avLst/>
          <a:gdLst>
            <a:gd name="T0" fmla="*/ 2134838 w 2134838"/>
            <a:gd name="T1" fmla="*/ 0 h 1"/>
            <a:gd name="T2" fmla="*/ 0 w 2134838"/>
            <a:gd name="T3" fmla="*/ 0 h 1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2134838" h="1">
              <a:moveTo>
                <a:pt x="2134838" y="0"/>
              </a:moveTo>
              <a:lnTo>
                <a:pt x="0" y="0"/>
              </a:lnTo>
            </a:path>
          </a:pathLst>
        </a:cu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0.4415</cdr:x>
      <cdr:y>0.56075</cdr:y>
    </cdr:from>
    <cdr:to>
      <cdr:x>0.4415</cdr:x>
      <cdr:y>0.72</cdr:y>
    </cdr:to>
    <cdr:sp macro="" textlink="">
      <cdr:nvSpPr>
        <cdr:cNvPr id="1033" name="Freeform 9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2418040" y="1874741"/>
          <a:ext cx="0" cy="532417"/>
        </a:xfrm>
        <a:custGeom xmlns:a="http://schemas.openxmlformats.org/drawingml/2006/main">
          <a:avLst/>
          <a:gdLst>
            <a:gd name="T0" fmla="*/ 0 w 1"/>
            <a:gd name="T1" fmla="*/ 0 h 528637"/>
            <a:gd name="T2" fmla="*/ 0 w 1"/>
            <a:gd name="T3" fmla="*/ 528637 h 528637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1" h="528637">
              <a:moveTo>
                <a:pt x="0" y="0"/>
              </a:moveTo>
              <a:lnTo>
                <a:pt x="0" y="528637"/>
              </a:lnTo>
            </a:path>
          </a:pathLst>
        </a:custGeom>
        <a:noFill xmlns:a="http://schemas.openxmlformats.org/drawingml/2006/main"/>
        <a:ln xmlns:a="http://schemas.openxmlformats.org/drawingml/2006/main" w="9525" cap="flat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prstDash val="solid"/>
          <a:round/>
          <a:headEnd type="stealth" w="med" len="med"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0.5225</cdr:x>
      <cdr:y>0.106</cdr:y>
    </cdr:from>
    <cdr:to>
      <cdr:x>0.66675</cdr:x>
      <cdr:y>0.18575</cdr:y>
    </cdr:to>
    <cdr:sp macro="" textlink="">
      <cdr:nvSpPr>
        <cdr:cNvPr id="1034" name="Text Box 1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61667" y="354387"/>
          <a:ext cx="790039" cy="2666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FF" mc:Ignorable="a14" a14:legacySpreadsheetColorIndex="12"/>
              </a:solidFill>
              <a:prstDash val="sysDot"/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975" b="0" i="0" u="none" strike="noStrike" baseline="0">
              <a:solidFill>
                <a:srgbClr val="000000"/>
              </a:solidFill>
              <a:latin typeface="Arial"/>
              <a:cs typeface="Arial"/>
            </a:rPr>
            <a:t>A…B</a:t>
          </a:r>
        </a:p>
      </cdr:txBody>
    </cdr:sp>
  </cdr:relSizeAnchor>
  <cdr:relSizeAnchor xmlns:cdr="http://schemas.openxmlformats.org/drawingml/2006/chartDrawing">
    <cdr:from>
      <cdr:x>0.5505</cdr:x>
      <cdr:y>0.28925</cdr:y>
    </cdr:from>
    <cdr:to>
      <cdr:x>0.653</cdr:x>
      <cdr:y>0.369</cdr:y>
    </cdr:to>
    <cdr:sp macro="" textlink="">
      <cdr:nvSpPr>
        <cdr:cNvPr id="1035" name="Text Box 1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15020" y="967042"/>
          <a:ext cx="561379" cy="2666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975" b="0" i="0" u="none" strike="noStrike" baseline="0">
              <a:solidFill>
                <a:srgbClr val="000000"/>
              </a:solidFill>
              <a:latin typeface="Arial"/>
              <a:cs typeface="Arial"/>
            </a:rPr>
            <a:t>E</a:t>
          </a:r>
          <a:r>
            <a:rPr lang="ru-RU" sz="975" b="0" i="0" u="none" strike="noStrike" baseline="-25000">
              <a:solidFill>
                <a:srgbClr val="000000"/>
              </a:solidFill>
              <a:latin typeface="Arial"/>
              <a:cs typeface="Arial"/>
            </a:rPr>
            <a:t>a</a:t>
          </a:r>
        </a:p>
      </cdr:txBody>
    </cdr:sp>
  </cdr:relSizeAnchor>
  <cdr:relSizeAnchor xmlns:cdr="http://schemas.openxmlformats.org/drawingml/2006/chartDrawing">
    <cdr:from>
      <cdr:x>0.2475</cdr:x>
      <cdr:y>0.585</cdr:y>
    </cdr:from>
    <cdr:to>
      <cdr:x>0.3535</cdr:x>
      <cdr:y>0.68475</cdr:y>
    </cdr:to>
    <cdr:sp macro="" textlink="">
      <cdr:nvSpPr>
        <cdr:cNvPr id="1036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55527" y="1955816"/>
          <a:ext cx="580548" cy="33349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975" b="0" i="0" u="none" strike="noStrike" baseline="0">
              <a:solidFill>
                <a:srgbClr val="000000"/>
              </a:solidFill>
              <a:latin typeface="Arial"/>
              <a:cs typeface="Arial"/>
            </a:rPr>
            <a:t>A + B</a:t>
          </a:r>
        </a:p>
      </cdr:txBody>
    </cdr:sp>
  </cdr:relSizeAnchor>
  <cdr:relSizeAnchor xmlns:cdr="http://schemas.openxmlformats.org/drawingml/2006/chartDrawing">
    <cdr:from>
      <cdr:x>0.4415</cdr:x>
      <cdr:y>0.63225</cdr:y>
    </cdr:from>
    <cdr:to>
      <cdr:x>0.50575</cdr:x>
      <cdr:y>0.68925</cdr:y>
    </cdr:to>
    <cdr:sp macro="" textlink="">
      <cdr:nvSpPr>
        <cdr:cNvPr id="1037" name="Text Box 1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18040" y="2113786"/>
          <a:ext cx="351890" cy="19056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975" b="0" i="0" u="none" strike="noStrike" baseline="0">
              <a:solidFill>
                <a:srgbClr val="000000"/>
              </a:solidFill>
            </a:rPr>
            <a:t>DH</a:t>
          </a:r>
        </a:p>
        <a:p xmlns:a="http://schemas.openxmlformats.org/drawingml/2006/main">
          <a:pPr algn="l" rtl="0">
            <a:defRPr sz="1000"/>
          </a:pPr>
          <a:r>
            <a:rPr lang="ru-RU" sz="975" b="0" i="0" u="none" strike="noStrike" baseline="0">
              <a:solidFill>
                <a:srgbClr val="000000"/>
              </a:solidFill>
            </a:rPr>
            <a:t>D</a:t>
          </a:r>
          <a:r>
            <a:rPr lang="ru-RU" sz="975" b="0" i="0" u="none" strike="noStrike" baseline="0">
              <a:solidFill>
                <a:srgbClr val="000000"/>
              </a:solidFill>
              <a:latin typeface="Arial"/>
              <a:cs typeface="Arial"/>
            </a:rPr>
            <a:t>H</a:t>
          </a:r>
        </a:p>
      </cdr:txBody>
    </cdr:sp>
  </cdr:relSizeAnchor>
  <cdr:relSizeAnchor xmlns:cdr="http://schemas.openxmlformats.org/drawingml/2006/chartDrawing">
    <cdr:from>
      <cdr:x>0.8215</cdr:x>
      <cdr:y>0.72475</cdr:y>
    </cdr:from>
    <cdr:to>
      <cdr:x>0.9275</cdr:x>
      <cdr:y>0.8245</cdr:y>
    </cdr:to>
    <cdr:sp macro="" textlink="">
      <cdr:nvSpPr>
        <cdr:cNvPr id="1038" name="Text Box 1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499253" y="2423039"/>
          <a:ext cx="580549" cy="33349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A - B</a:t>
          </a:r>
        </a:p>
      </cdr:txBody>
    </cdr:sp>
  </cdr:relSizeAnchor>
  <cdr:relSizeAnchor xmlns:cdr="http://schemas.openxmlformats.org/drawingml/2006/chartDrawing">
    <cdr:from>
      <cdr:x>0.886</cdr:x>
      <cdr:y>0.87025</cdr:y>
    </cdr:from>
    <cdr:to>
      <cdr:x>0.949</cdr:x>
      <cdr:y>0.871</cdr:y>
    </cdr:to>
    <cdr:sp macro="" textlink="">
      <cdr:nvSpPr>
        <cdr:cNvPr id="1042" name="Freeform 18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4852511" y="2909485"/>
          <a:ext cx="345043" cy="2508"/>
        </a:xfrm>
        <a:custGeom xmlns:a="http://schemas.openxmlformats.org/drawingml/2006/main">
          <a:avLst/>
          <a:gdLst>
            <a:gd name="T0" fmla="*/ 0 w 347663"/>
            <a:gd name="T1" fmla="*/ 4763 h 4763"/>
            <a:gd name="T2" fmla="*/ 347663 w 347663"/>
            <a:gd name="T3" fmla="*/ 0 h 4763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347663" h="4763">
              <a:moveTo>
                <a:pt x="0" y="4763"/>
              </a:moveTo>
              <a:lnTo>
                <a:pt x="347663" y="0"/>
              </a:lnTo>
            </a:path>
          </a:pathLst>
        </a:custGeom>
        <a:noFill xmlns:a="http://schemas.openxmlformats.org/drawingml/2006/main"/>
        <a:ln xmlns:a="http://schemas.openxmlformats.org/drawingml/2006/main" w="9525" cap="flat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prstDash val="solid"/>
          <a:round/>
          <a:headEnd type="none" w="med" len="med"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0.0605</cdr:x>
      <cdr:y>0.0075</cdr:y>
    </cdr:from>
    <cdr:to>
      <cdr:x>0.0605</cdr:x>
      <cdr:y>0.0795</cdr:y>
    </cdr:to>
    <cdr:sp macro="" textlink="">
      <cdr:nvSpPr>
        <cdr:cNvPr id="1044" name="Line 20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331351" y="25075"/>
          <a:ext cx="0" cy="24071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0.2385</cdr:x>
      <cdr:y>0.62875</cdr:y>
    </cdr:from>
    <cdr:to>
      <cdr:x>0.49425</cdr:x>
      <cdr:y>0.62875</cdr:y>
    </cdr:to>
    <cdr:sp macro="" textlink="">
      <cdr:nvSpPr>
        <cdr:cNvPr id="1028" name="Freeform 4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1192649" y="1946374"/>
          <a:ext cx="1278910" cy="0"/>
        </a:xfrm>
        <a:custGeom xmlns:a="http://schemas.openxmlformats.org/drawingml/2006/main">
          <a:avLst/>
          <a:gdLst>
            <a:gd name="T0" fmla="*/ 0 w 1276350"/>
            <a:gd name="T1" fmla="*/ 0 h 1"/>
            <a:gd name="T2" fmla="*/ 1276350 w 1276350"/>
            <a:gd name="T3" fmla="*/ 0 h 1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1276350" h="1">
              <a:moveTo>
                <a:pt x="0" y="0"/>
              </a:moveTo>
              <a:lnTo>
                <a:pt x="1276350" y="0"/>
              </a:lnTo>
            </a:path>
          </a:pathLst>
        </a:cu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 type="none" w="med" len="med"/>
          <a:tailEnd type="non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0.45375</cdr:x>
      <cdr:y>0.20925</cdr:y>
    </cdr:from>
    <cdr:to>
      <cdr:x>0.4545</cdr:x>
      <cdr:y>0.619</cdr:y>
    </cdr:to>
    <cdr:sp macro="" textlink="">
      <cdr:nvSpPr>
        <cdr:cNvPr id="1030" name="Freeform 6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2269034" y="647760"/>
          <a:ext cx="3750" cy="1268432"/>
        </a:xfrm>
        <a:custGeom xmlns:a="http://schemas.openxmlformats.org/drawingml/2006/main">
          <a:avLst/>
          <a:gdLst>
            <a:gd name="T0" fmla="*/ 0 w 1"/>
            <a:gd name="T1" fmla="*/ 0 h 1266825"/>
            <a:gd name="T2" fmla="*/ 0 w 1"/>
            <a:gd name="T3" fmla="*/ 1266825 h 1266825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1" h="1266825">
              <a:moveTo>
                <a:pt x="0" y="0"/>
              </a:moveTo>
              <a:lnTo>
                <a:pt x="0" y="1266825"/>
              </a:lnTo>
            </a:path>
          </a:pathLst>
        </a:cu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 type="stealth" w="med" len="med"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0.414</cdr:x>
      <cdr:y>0.75775</cdr:y>
    </cdr:from>
    <cdr:to>
      <cdr:x>0.878</cdr:x>
      <cdr:y>0.75775</cdr:y>
    </cdr:to>
    <cdr:sp macro="" textlink="">
      <cdr:nvSpPr>
        <cdr:cNvPr id="1031" name="Freeform 7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2070259" y="2345710"/>
          <a:ext cx="2320290" cy="0"/>
        </a:xfrm>
        <a:custGeom xmlns:a="http://schemas.openxmlformats.org/drawingml/2006/main">
          <a:avLst/>
          <a:gdLst>
            <a:gd name="T0" fmla="*/ 2324100 w 2324100"/>
            <a:gd name="T1" fmla="*/ 0 h 1"/>
            <a:gd name="T2" fmla="*/ 0 w 2324100"/>
            <a:gd name="T3" fmla="*/ 0 h 1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2324100" h="1">
              <a:moveTo>
                <a:pt x="2324100" y="0"/>
              </a:moveTo>
              <a:lnTo>
                <a:pt x="0" y="0"/>
              </a:lnTo>
            </a:path>
          </a:pathLst>
        </a:cu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0.43175</cdr:x>
      <cdr:y>0.62875</cdr:y>
    </cdr:from>
    <cdr:to>
      <cdr:x>0.43175</cdr:x>
      <cdr:y>0.75175</cdr:y>
    </cdr:to>
    <cdr:sp macro="" textlink="">
      <cdr:nvSpPr>
        <cdr:cNvPr id="1033" name="Freeform 9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2159020" y="1946374"/>
          <a:ext cx="0" cy="380762"/>
        </a:xfrm>
        <a:custGeom xmlns:a="http://schemas.openxmlformats.org/drawingml/2006/main">
          <a:avLst/>
          <a:gdLst>
            <a:gd name="T0" fmla="*/ 0 w 1"/>
            <a:gd name="T1" fmla="*/ 0 h 381000"/>
            <a:gd name="T2" fmla="*/ 0 w 1"/>
            <a:gd name="T3" fmla="*/ 381000 h 381000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1" h="381000">
              <a:moveTo>
                <a:pt x="0" y="0"/>
              </a:moveTo>
              <a:lnTo>
                <a:pt x="0" y="381000"/>
              </a:lnTo>
            </a:path>
          </a:pathLst>
        </a:custGeom>
        <a:noFill xmlns:a="http://schemas.openxmlformats.org/drawingml/2006/main"/>
        <a:ln xmlns:a="http://schemas.openxmlformats.org/drawingml/2006/main" w="9525" cap="flat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prstDash val="solid"/>
          <a:round/>
          <a:headEnd type="stealth" w="med" len="med"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0.45375</cdr:x>
      <cdr:y>0.07675</cdr:y>
    </cdr:from>
    <cdr:to>
      <cdr:x>0.52225</cdr:x>
      <cdr:y>0.13525</cdr:y>
    </cdr:to>
    <cdr:sp macro="" textlink="">
      <cdr:nvSpPr>
        <cdr:cNvPr id="1034" name="Text Box 1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69034" y="237589"/>
          <a:ext cx="342542" cy="1810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A</a:t>
          </a:r>
          <a:r>
            <a:rPr lang="ru-RU" sz="900" b="0" i="0" u="none" strike="noStrike" baseline="-25000">
              <a:solidFill>
                <a:srgbClr val="000000"/>
              </a:solidFill>
              <a:latin typeface="Arial"/>
              <a:cs typeface="Arial"/>
            </a:rPr>
            <a:t>1</a:t>
          </a:r>
        </a:p>
      </cdr:txBody>
    </cdr:sp>
  </cdr:relSizeAnchor>
  <cdr:relSizeAnchor xmlns:cdr="http://schemas.openxmlformats.org/drawingml/2006/chartDrawing">
    <cdr:from>
      <cdr:x>0.46175</cdr:x>
      <cdr:y>0.3725</cdr:y>
    </cdr:from>
    <cdr:to>
      <cdr:x>0.57425</cdr:x>
      <cdr:y>0.45875</cdr:y>
    </cdr:to>
    <cdr:sp macro="" textlink="">
      <cdr:nvSpPr>
        <cdr:cNvPr id="1035" name="Text Box 1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09039" y="1153120"/>
          <a:ext cx="562570" cy="26699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E</a:t>
          </a:r>
          <a:r>
            <a:rPr lang="ru-RU" sz="900" b="0" i="0" u="none" strike="noStrike" baseline="-25000">
              <a:solidFill>
                <a:srgbClr val="000000"/>
              </a:solidFill>
              <a:latin typeface="Arial"/>
              <a:cs typeface="Arial"/>
            </a:rPr>
            <a:t>a,1</a:t>
          </a:r>
        </a:p>
      </cdr:txBody>
    </cdr:sp>
  </cdr:relSizeAnchor>
  <cdr:relSizeAnchor xmlns:cdr="http://schemas.openxmlformats.org/drawingml/2006/chartDrawing">
    <cdr:from>
      <cdr:x>0.19175</cdr:x>
      <cdr:y>0.638</cdr:y>
    </cdr:from>
    <cdr:to>
      <cdr:x>0.308</cdr:x>
      <cdr:y>0.74575</cdr:y>
    </cdr:to>
    <cdr:sp macro="" textlink="">
      <cdr:nvSpPr>
        <cdr:cNvPr id="1036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58870" y="1975009"/>
          <a:ext cx="581323" cy="3335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900" b="0" i="0" u="none" strike="noStrike" baseline="0">
              <a:solidFill>
                <a:srgbClr val="000000"/>
              </a:solidFill>
              <a:latin typeface="Arial"/>
              <a:cs typeface="Arial"/>
            </a:rPr>
            <a:t>A + B</a:t>
          </a:r>
        </a:p>
      </cdr:txBody>
    </cdr:sp>
  </cdr:relSizeAnchor>
  <cdr:relSizeAnchor xmlns:cdr="http://schemas.openxmlformats.org/drawingml/2006/chartDrawing">
    <cdr:from>
      <cdr:x>0.43175</cdr:x>
      <cdr:y>0.6655</cdr:y>
    </cdr:from>
    <cdr:to>
      <cdr:x>0.50225</cdr:x>
      <cdr:y>0.727</cdr:y>
    </cdr:to>
    <cdr:sp macro="" textlink="">
      <cdr:nvSpPr>
        <cdr:cNvPr id="1037" name="Text Box 1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59020" y="2060138"/>
          <a:ext cx="352544" cy="1903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900" b="0" i="0" u="none" strike="noStrike" baseline="0">
              <a:solidFill>
                <a:srgbClr val="000000"/>
              </a:solidFill>
            </a:rPr>
            <a:t>DH</a:t>
          </a:r>
        </a:p>
        <a:p xmlns:a="http://schemas.openxmlformats.org/drawingml/2006/main">
          <a:pPr algn="l" rtl="0">
            <a:defRPr sz="1000"/>
          </a:pPr>
          <a:r>
            <a:rPr lang="ru-RU" sz="900" b="0" i="0" u="none" strike="noStrike" baseline="0">
              <a:solidFill>
                <a:srgbClr val="000000"/>
              </a:solidFill>
            </a:rPr>
            <a:t>D</a:t>
          </a:r>
          <a:r>
            <a:rPr lang="ru-RU" sz="900" b="0" i="0" u="none" strike="noStrike" baseline="0">
              <a:solidFill>
                <a:srgbClr val="000000"/>
              </a:solidFill>
              <a:latin typeface="Arial"/>
              <a:cs typeface="Arial"/>
            </a:rPr>
            <a:t>H</a:t>
          </a:r>
        </a:p>
      </cdr:txBody>
    </cdr:sp>
  </cdr:relSizeAnchor>
  <cdr:relSizeAnchor xmlns:cdr="http://schemas.openxmlformats.org/drawingml/2006/chartDrawing">
    <cdr:from>
      <cdr:x>0.80825</cdr:x>
      <cdr:y>0.75775</cdr:y>
    </cdr:from>
    <cdr:to>
      <cdr:x>0.9245</cdr:x>
      <cdr:y>0.8655</cdr:y>
    </cdr:to>
    <cdr:sp macro="" textlink="">
      <cdr:nvSpPr>
        <cdr:cNvPr id="1038" name="Text Box 1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41755" y="2345710"/>
          <a:ext cx="581323" cy="3335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A - B</a:t>
          </a:r>
        </a:p>
      </cdr:txBody>
    </cdr:sp>
  </cdr:relSizeAnchor>
  <cdr:relSizeAnchor xmlns:cdr="http://schemas.openxmlformats.org/drawingml/2006/chartDrawing">
    <cdr:from>
      <cdr:x>0.563</cdr:x>
      <cdr:y>0.35725</cdr:y>
    </cdr:from>
    <cdr:to>
      <cdr:x>0.60675</cdr:x>
      <cdr:y>0.41575</cdr:y>
    </cdr:to>
    <cdr:sp macro="" textlink="">
      <cdr:nvSpPr>
        <cdr:cNvPr id="1039" name="Text Box 1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15352" y="1105912"/>
          <a:ext cx="218777" cy="1810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C</a:t>
          </a:r>
        </a:p>
      </cdr:txBody>
    </cdr:sp>
  </cdr:relSizeAnchor>
  <cdr:relSizeAnchor xmlns:cdr="http://schemas.openxmlformats.org/drawingml/2006/chartDrawing">
    <cdr:from>
      <cdr:x>0.6655</cdr:x>
      <cdr:y>0.20525</cdr:y>
    </cdr:from>
    <cdr:to>
      <cdr:x>0.734</cdr:x>
      <cdr:y>0.26375</cdr:y>
    </cdr:to>
    <cdr:sp macro="" textlink="">
      <cdr:nvSpPr>
        <cdr:cNvPr id="1040" name="Text Box 1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27916" y="635377"/>
          <a:ext cx="342543" cy="1810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B</a:t>
          </a:r>
          <a:r>
            <a:rPr lang="ru-RU" sz="1000" b="0" i="0" u="none" strike="noStrike" baseline="-25000">
              <a:solidFill>
                <a:srgbClr val="000000"/>
              </a:solidFill>
              <a:latin typeface="Arial"/>
              <a:cs typeface="Arial"/>
            </a:rPr>
            <a:t>1</a:t>
          </a:r>
        </a:p>
      </cdr:txBody>
    </cdr:sp>
  </cdr:relSizeAnchor>
  <cdr:relSizeAnchor xmlns:cdr="http://schemas.openxmlformats.org/drawingml/2006/chartDrawing">
    <cdr:from>
      <cdr:x>0.675</cdr:x>
      <cdr:y>0.271</cdr:y>
    </cdr:from>
    <cdr:to>
      <cdr:x>0.80825</cdr:x>
      <cdr:y>0.271</cdr:y>
    </cdr:to>
    <cdr:sp macro="" textlink="">
      <cdr:nvSpPr>
        <cdr:cNvPr id="1042" name="Freeform 18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3375422" y="838914"/>
          <a:ext cx="666333" cy="0"/>
        </a:xfrm>
        <a:custGeom xmlns:a="http://schemas.openxmlformats.org/drawingml/2006/main">
          <a:avLst/>
          <a:gdLst>
            <a:gd name="T0" fmla="*/ 0 w 676275"/>
            <a:gd name="T1" fmla="*/ 0 h 1"/>
            <a:gd name="T2" fmla="*/ 676275 w 676275"/>
            <a:gd name="T3" fmla="*/ 0 h 1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676275" h="1">
              <a:moveTo>
                <a:pt x="0" y="0"/>
              </a:moveTo>
              <a:lnTo>
                <a:pt x="676275" y="0"/>
              </a:lnTo>
            </a:path>
          </a:pathLst>
        </a:cu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 type="none" w="med" len="med"/>
          <a:tailEnd type="non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0.80825</cdr:x>
      <cdr:y>0.28625</cdr:y>
    </cdr:from>
    <cdr:to>
      <cdr:x>0.8845</cdr:x>
      <cdr:y>0.34775</cdr:y>
    </cdr:to>
    <cdr:sp macro="" textlink="">
      <cdr:nvSpPr>
        <cdr:cNvPr id="1044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41755" y="886123"/>
          <a:ext cx="381298" cy="1903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E</a:t>
          </a:r>
          <a:r>
            <a:rPr lang="ru-RU" sz="1000" b="0" i="0" u="none" strike="noStrike" baseline="-25000">
              <a:solidFill>
                <a:srgbClr val="000000"/>
              </a:solidFill>
              <a:latin typeface="Arial"/>
              <a:cs typeface="Arial"/>
            </a:rPr>
            <a:t>a,2</a:t>
          </a:r>
        </a:p>
      </cdr:txBody>
    </cdr:sp>
  </cdr:relSizeAnchor>
  <cdr:relSizeAnchor xmlns:cdr="http://schemas.openxmlformats.org/drawingml/2006/chartDrawing">
    <cdr:from>
      <cdr:x>0.5745</cdr:x>
      <cdr:y>0.35725</cdr:y>
    </cdr:from>
    <cdr:to>
      <cdr:x>0.80825</cdr:x>
      <cdr:y>0.35725</cdr:y>
    </cdr:to>
    <cdr:sp macro="" textlink="">
      <cdr:nvSpPr>
        <cdr:cNvPr id="1047" name="Freeform 23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2872859" y="1105912"/>
          <a:ext cx="1168896" cy="0"/>
        </a:xfrm>
        <a:custGeom xmlns:a="http://schemas.openxmlformats.org/drawingml/2006/main">
          <a:avLst/>
          <a:gdLst>
            <a:gd name="T0" fmla="*/ 0 w 1171575"/>
            <a:gd name="T1" fmla="*/ 0 h 1"/>
            <a:gd name="T2" fmla="*/ 1171575 w 1171575"/>
            <a:gd name="T3" fmla="*/ 0 h 1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1171575" h="1">
              <a:moveTo>
                <a:pt x="0" y="0"/>
              </a:moveTo>
              <a:lnTo>
                <a:pt x="1171575" y="0"/>
              </a:lnTo>
            </a:path>
          </a:pathLst>
        </a:cu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 type="none" w="med" len="med"/>
          <a:tailEnd type="non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0.7915</cdr:x>
      <cdr:y>0.271</cdr:y>
    </cdr:from>
    <cdr:to>
      <cdr:x>0.7915</cdr:x>
      <cdr:y>0.351</cdr:y>
    </cdr:to>
    <cdr:sp macro="" textlink="">
      <cdr:nvSpPr>
        <cdr:cNvPr id="1049" name="Freeform 25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3957995" y="838914"/>
          <a:ext cx="0" cy="247650"/>
        </a:xfrm>
        <a:custGeom xmlns:a="http://schemas.openxmlformats.org/drawingml/2006/main">
          <a:avLst/>
          <a:gdLst>
            <a:gd name="T0" fmla="*/ 0 w 1"/>
            <a:gd name="T1" fmla="*/ 0 h 247650"/>
            <a:gd name="T2" fmla="*/ 0 w 1"/>
            <a:gd name="T3" fmla="*/ 247650 h 247650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1" h="247650">
              <a:moveTo>
                <a:pt x="0" y="0"/>
              </a:moveTo>
              <a:lnTo>
                <a:pt x="0" y="247650"/>
              </a:lnTo>
            </a:path>
          </a:pathLst>
        </a:custGeom>
        <a:noFill xmlns:a="http://schemas.openxmlformats.org/drawingml/2006/main"/>
        <a:ln xmlns:a="http://schemas.openxmlformats.org/drawingml/2006/main" w="9525" cap="flat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prstDash val="solid"/>
          <a:round/>
          <a:headEnd type="stealth" w="med" len="med"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0.9405</cdr:x>
      <cdr:y>0.875</cdr:y>
    </cdr:from>
    <cdr:to>
      <cdr:x>0.9925</cdr:x>
      <cdr:y>0.87525</cdr:y>
    </cdr:to>
    <cdr:sp macro="" textlink="">
      <cdr:nvSpPr>
        <cdr:cNvPr id="1050" name="Freeform 26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4703088" y="2708672"/>
          <a:ext cx="260032" cy="774"/>
        </a:xfrm>
        <a:custGeom xmlns:a="http://schemas.openxmlformats.org/drawingml/2006/main">
          <a:avLst/>
          <a:gdLst>
            <a:gd name="T0" fmla="*/ 0 w 257175"/>
            <a:gd name="T1" fmla="*/ 0 h 1"/>
            <a:gd name="T2" fmla="*/ 257175 w 257175"/>
            <a:gd name="T3" fmla="*/ 0 h 1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257175" h="1">
              <a:moveTo>
                <a:pt x="0" y="0"/>
              </a:moveTo>
              <a:lnTo>
                <a:pt x="257175" y="0"/>
              </a:lnTo>
            </a:path>
          </a:pathLst>
        </a:custGeom>
        <a:noFill xmlns:a="http://schemas.openxmlformats.org/drawingml/2006/main"/>
        <a:ln xmlns:a="http://schemas.openxmlformats.org/drawingml/2006/main" w="9525" cap="flat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prstDash val="solid"/>
          <a:round/>
          <a:headEnd type="none" w="med" len="med"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0.06575</cdr:x>
      <cdr:y>0.05825</cdr:y>
    </cdr:from>
    <cdr:to>
      <cdr:x>0.06575</cdr:x>
      <cdr:y>0.116</cdr:y>
    </cdr:to>
    <cdr:sp macro="" textlink="">
      <cdr:nvSpPr>
        <cdr:cNvPr id="1051" name="Line 2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328791" y="180320"/>
          <a:ext cx="0" cy="17877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0.44675</cdr:x>
      <cdr:y>0.27075</cdr:y>
    </cdr:from>
    <cdr:to>
      <cdr:x>0.44675</cdr:x>
      <cdr:y>0.59125</cdr:y>
    </cdr:to>
    <cdr:sp macro="" textlink="">
      <cdr:nvSpPr>
        <cdr:cNvPr id="1030" name="Freeform 6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1306375" y="538989"/>
          <a:ext cx="0" cy="638027"/>
        </a:xfrm>
        <a:custGeom xmlns:a="http://schemas.openxmlformats.org/drawingml/2006/main">
          <a:avLst/>
          <a:gdLst>
            <a:gd name="T0" fmla="*/ 0 w 1"/>
            <a:gd name="T1" fmla="*/ 0 h 636458"/>
            <a:gd name="T2" fmla="*/ 0 w 1"/>
            <a:gd name="T3" fmla="*/ 636458 h 636458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1" h="636458">
              <a:moveTo>
                <a:pt x="0" y="0"/>
              </a:moveTo>
              <a:lnTo>
                <a:pt x="0" y="636458"/>
              </a:lnTo>
            </a:path>
          </a:pathLst>
        </a:cu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 type="stealth" w="med" len="med"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0.5025</cdr:x>
      <cdr:y>0.36725</cdr:y>
    </cdr:from>
    <cdr:to>
      <cdr:x>0.5775</cdr:x>
      <cdr:y>0.44375</cdr:y>
    </cdr:to>
    <cdr:sp macro="" textlink="">
      <cdr:nvSpPr>
        <cdr:cNvPr id="1035" name="Text Box 1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469398" y="731094"/>
          <a:ext cx="219313" cy="1522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u="none" strike="noStrike" baseline="0">
              <a:solidFill>
                <a:srgbClr val="000000"/>
              </a:solidFill>
              <a:latin typeface="Arial"/>
              <a:cs typeface="Arial"/>
            </a:rPr>
            <a:t>E</a:t>
          </a:r>
          <a:r>
            <a:rPr lang="ru-RU" sz="800" b="0" i="0" u="none" strike="noStrike" baseline="-25000">
              <a:solidFill>
                <a:srgbClr val="000000"/>
              </a:solidFill>
              <a:latin typeface="Arial"/>
              <a:cs typeface="Arial"/>
            </a:rPr>
            <a:t>a,1</a:t>
          </a:r>
        </a:p>
      </cdr:txBody>
    </cdr:sp>
  </cdr:relSizeAnchor>
  <cdr:relSizeAnchor xmlns:cdr="http://schemas.openxmlformats.org/drawingml/2006/chartDrawing">
    <cdr:from>
      <cdr:x>0.23675</cdr:x>
      <cdr:y>0.4995</cdr:y>
    </cdr:from>
    <cdr:to>
      <cdr:x>0.29875</cdr:x>
      <cdr:y>0.5905</cdr:y>
    </cdr:to>
    <cdr:sp macro="" textlink="">
      <cdr:nvSpPr>
        <cdr:cNvPr id="1040" name="Text Box 1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92298" y="994367"/>
          <a:ext cx="181299" cy="1811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A</a:t>
          </a:r>
        </a:p>
      </cdr:txBody>
    </cdr:sp>
  </cdr:relSizeAnchor>
  <cdr:relSizeAnchor xmlns:cdr="http://schemas.openxmlformats.org/drawingml/2006/chartDrawing">
    <cdr:from>
      <cdr:x>0.282</cdr:x>
      <cdr:y>0.5885</cdr:y>
    </cdr:from>
    <cdr:to>
      <cdr:x>0.4895</cdr:x>
      <cdr:y>0.59125</cdr:y>
    </cdr:to>
    <cdr:sp macro="" textlink="">
      <cdr:nvSpPr>
        <cdr:cNvPr id="1045" name="Freeform 21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824617" y="1171542"/>
          <a:ext cx="606767" cy="5474"/>
        </a:xfrm>
        <a:custGeom xmlns:a="http://schemas.openxmlformats.org/drawingml/2006/main">
          <a:avLst/>
          <a:gdLst>
            <a:gd name="T0" fmla="*/ 0 w 603021"/>
            <a:gd name="T1" fmla="*/ 4785 h 4785"/>
            <a:gd name="T2" fmla="*/ 603021 w 603021"/>
            <a:gd name="T3" fmla="*/ 0 h 4785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603021" h="4785">
              <a:moveTo>
                <a:pt x="0" y="4785"/>
              </a:moveTo>
              <a:lnTo>
                <a:pt x="603021" y="0"/>
              </a:lnTo>
            </a:path>
          </a:pathLst>
        </a:cu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0.54525</cdr:x>
      <cdr:y>0.5325</cdr:y>
    </cdr:from>
    <cdr:to>
      <cdr:x>0.60725</cdr:x>
      <cdr:y>0.6235</cdr:y>
    </cdr:to>
    <cdr:sp macro="" textlink="">
      <cdr:nvSpPr>
        <cdr:cNvPr id="1046" name="Text Box 2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94406" y="1060061"/>
          <a:ext cx="181299" cy="1811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B</a:t>
          </a:r>
        </a:p>
      </cdr:txBody>
    </cdr:sp>
  </cdr:relSizeAnchor>
  <cdr:relSizeAnchor xmlns:cdr="http://schemas.openxmlformats.org/drawingml/2006/chartDrawing">
    <cdr:from>
      <cdr:x>0.56475</cdr:x>
      <cdr:y>0.656</cdr:y>
    </cdr:from>
    <cdr:to>
      <cdr:x>0.7335</cdr:x>
      <cdr:y>0.65675</cdr:y>
    </cdr:to>
    <cdr:sp macro="" textlink="">
      <cdr:nvSpPr>
        <cdr:cNvPr id="1047" name="Line 2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651428" y="1305916"/>
          <a:ext cx="493454" cy="149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0.6785</cdr:x>
      <cdr:y>0.33275</cdr:y>
    </cdr:from>
    <cdr:to>
      <cdr:x>0.67925</cdr:x>
      <cdr:y>0.6465</cdr:y>
    </cdr:to>
    <cdr:sp macro="" textlink="">
      <cdr:nvSpPr>
        <cdr:cNvPr id="1048" name="Freeform 24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1984053" y="662414"/>
          <a:ext cx="2193" cy="624590"/>
        </a:xfrm>
        <a:custGeom xmlns:a="http://schemas.openxmlformats.org/drawingml/2006/main">
          <a:avLst/>
          <a:gdLst>
            <a:gd name="T0" fmla="*/ 0 w 1"/>
            <a:gd name="T1" fmla="*/ 0 h 622101"/>
            <a:gd name="T2" fmla="*/ 0 w 1"/>
            <a:gd name="T3" fmla="*/ 622101 h 622101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1" h="622101">
              <a:moveTo>
                <a:pt x="0" y="0"/>
              </a:moveTo>
              <a:lnTo>
                <a:pt x="0" y="622101"/>
              </a:lnTo>
            </a:path>
          </a:pathLst>
        </a:cu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 type="stealth" w="med" len="med"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0.84825</cdr:x>
      <cdr:y>0.6465</cdr:y>
    </cdr:from>
    <cdr:to>
      <cdr:x>0.91025</cdr:x>
      <cdr:y>0.7375</cdr:y>
    </cdr:to>
    <cdr:sp macro="" textlink="">
      <cdr:nvSpPr>
        <cdr:cNvPr id="1049" name="Text Box 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80431" y="1287004"/>
          <a:ext cx="181299" cy="1811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C</a:t>
          </a:r>
        </a:p>
      </cdr:txBody>
    </cdr:sp>
  </cdr:relSizeAnchor>
  <cdr:relSizeAnchor xmlns:cdr="http://schemas.openxmlformats.org/drawingml/2006/chartDrawing">
    <cdr:from>
      <cdr:x>0.103</cdr:x>
      <cdr:y>0.73075</cdr:y>
    </cdr:from>
    <cdr:to>
      <cdr:x>0.86925</cdr:x>
      <cdr:y>0.7315</cdr:y>
    </cdr:to>
    <cdr:sp macro="" textlink="">
      <cdr:nvSpPr>
        <cdr:cNvPr id="1050" name="Freeform 26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301190" y="1454722"/>
          <a:ext cx="2240649" cy="1493"/>
        </a:xfrm>
        <a:custGeom xmlns:a="http://schemas.openxmlformats.org/drawingml/2006/main">
          <a:avLst/>
          <a:gdLst>
            <a:gd name="T0" fmla="*/ 2230222 w 2230222"/>
            <a:gd name="T1" fmla="*/ 0 h 1"/>
            <a:gd name="T2" fmla="*/ 0 w 2230222"/>
            <a:gd name="T3" fmla="*/ 0 h 1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2230222" h="1">
              <a:moveTo>
                <a:pt x="2230222" y="0"/>
              </a:moveTo>
              <a:lnTo>
                <a:pt x="0" y="0"/>
              </a:lnTo>
            </a:path>
          </a:pathLst>
        </a:cu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0.74225</cdr:x>
      <cdr:y>0.4055</cdr:y>
    </cdr:from>
    <cdr:to>
      <cdr:x>0.81725</cdr:x>
      <cdr:y>0.482</cdr:y>
    </cdr:to>
    <cdr:sp macro="" textlink="">
      <cdr:nvSpPr>
        <cdr:cNvPr id="1051" name="Text Box 2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70469" y="807239"/>
          <a:ext cx="219313" cy="1522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u="none" strike="noStrike" baseline="0">
              <a:solidFill>
                <a:srgbClr val="000000"/>
              </a:solidFill>
              <a:latin typeface="Arial"/>
              <a:cs typeface="Arial"/>
            </a:rPr>
            <a:t>E</a:t>
          </a:r>
          <a:r>
            <a:rPr lang="ru-RU" sz="800" b="0" i="0" u="none" strike="noStrike" baseline="-25000">
              <a:solidFill>
                <a:srgbClr val="000000"/>
              </a:solidFill>
              <a:latin typeface="Arial"/>
              <a:cs typeface="Arial"/>
            </a:rPr>
            <a:t>a,2</a:t>
          </a:r>
        </a:p>
      </cdr:txBody>
    </cdr:sp>
  </cdr:relSizeAnchor>
  <cdr:relSizeAnchor xmlns:cdr="http://schemas.openxmlformats.org/drawingml/2006/chartDrawing">
    <cdr:from>
      <cdr:x>0.90875</cdr:x>
      <cdr:y>0.79575</cdr:y>
    </cdr:from>
    <cdr:to>
      <cdr:x>0.937</cdr:x>
      <cdr:y>0.79825</cdr:y>
    </cdr:to>
    <cdr:sp macro="" textlink="">
      <cdr:nvSpPr>
        <cdr:cNvPr id="1052" name="Freeform 28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2657344" y="1584119"/>
          <a:ext cx="82608" cy="4977"/>
        </a:xfrm>
        <a:custGeom xmlns:a="http://schemas.openxmlformats.org/drawingml/2006/main">
          <a:avLst/>
          <a:gdLst>
            <a:gd name="T0" fmla="*/ 0 w 86146"/>
            <a:gd name="T1" fmla="*/ 0 h 4785"/>
            <a:gd name="T2" fmla="*/ 86146 w 86146"/>
            <a:gd name="T3" fmla="*/ 4785 h 4785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86146" h="4785">
              <a:moveTo>
                <a:pt x="0" y="0"/>
              </a:moveTo>
              <a:lnTo>
                <a:pt x="86146" y="4785"/>
              </a:lnTo>
            </a:path>
          </a:pathLst>
        </a:custGeom>
        <a:noFill xmlns:a="http://schemas.openxmlformats.org/drawingml/2006/main"/>
        <a:ln xmlns:a="http://schemas.openxmlformats.org/drawingml/2006/main" w="9525" cap="flat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prstDash val="solid"/>
          <a:round/>
          <a:headEnd type="none" w="med" len="med"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0.105</cdr:x>
      <cdr:y>0.112</cdr:y>
    </cdr:from>
    <cdr:to>
      <cdr:x>0.105</cdr:x>
      <cdr:y>0.12125</cdr:y>
    </cdr:to>
    <cdr:sp macro="" textlink="">
      <cdr:nvSpPr>
        <cdr:cNvPr id="1054" name="Line 30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307038" y="222961"/>
          <a:ext cx="0" cy="1841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0.4695</cdr:x>
      <cdr:y>0.317</cdr:y>
    </cdr:from>
    <cdr:to>
      <cdr:x>0.4695</cdr:x>
      <cdr:y>0.61025</cdr:y>
    </cdr:to>
    <cdr:sp macro="" textlink="">
      <cdr:nvSpPr>
        <cdr:cNvPr id="1030" name="Line 6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1372900" y="631060"/>
          <a:ext cx="0" cy="58378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 type="stealth" w="med" len="med"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0.52725</cdr:x>
      <cdr:y>0.4015</cdr:y>
    </cdr:from>
    <cdr:to>
      <cdr:x>0.625</cdr:x>
      <cdr:y>0.4925</cdr:y>
    </cdr:to>
    <cdr:sp macro="" textlink="">
      <cdr:nvSpPr>
        <cdr:cNvPr id="1035" name="Text Box 1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41771" y="799276"/>
          <a:ext cx="285838" cy="1811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E</a:t>
          </a:r>
          <a:r>
            <a:rPr lang="ru-RU" sz="1000" b="0" i="0" u="none" strike="noStrike" baseline="-25000">
              <a:solidFill>
                <a:srgbClr val="000000"/>
              </a:solidFill>
              <a:latin typeface="Arial"/>
              <a:cs typeface="Arial"/>
            </a:rPr>
            <a:t>a,1</a:t>
          </a:r>
        </a:p>
      </cdr:txBody>
    </cdr:sp>
  </cdr:relSizeAnchor>
  <cdr:relSizeAnchor xmlns:cdr="http://schemas.openxmlformats.org/drawingml/2006/chartDrawing">
    <cdr:from>
      <cdr:x>0.245</cdr:x>
      <cdr:y>0.52025</cdr:y>
    </cdr:from>
    <cdr:to>
      <cdr:x>0.307</cdr:x>
      <cdr:y>0.61125</cdr:y>
    </cdr:to>
    <cdr:sp macro="" textlink="">
      <cdr:nvSpPr>
        <cdr:cNvPr id="1040" name="Text Box 1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16423" y="1035675"/>
          <a:ext cx="181299" cy="1811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A</a:t>
          </a:r>
        </a:p>
      </cdr:txBody>
    </cdr:sp>
  </cdr:relSizeAnchor>
  <cdr:relSizeAnchor xmlns:cdr="http://schemas.openxmlformats.org/drawingml/2006/chartDrawing">
    <cdr:from>
      <cdr:x>0.79575</cdr:x>
      <cdr:y>0.4015</cdr:y>
    </cdr:from>
    <cdr:to>
      <cdr:x>0.89675</cdr:x>
      <cdr:y>0.50675</cdr:y>
    </cdr:to>
    <cdr:sp macro="" textlink="">
      <cdr:nvSpPr>
        <cdr:cNvPr id="1044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26912" y="799276"/>
          <a:ext cx="295342" cy="2095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E</a:t>
          </a:r>
          <a:r>
            <a:rPr lang="ru-RU" sz="1000" b="0" i="0" u="none" strike="noStrike" baseline="-25000">
              <a:solidFill>
                <a:srgbClr val="000000"/>
              </a:solidFill>
              <a:latin typeface="Arial"/>
              <a:cs typeface="Arial"/>
            </a:rPr>
            <a:t>a,2</a:t>
          </a:r>
        </a:p>
      </cdr:txBody>
    </cdr:sp>
  </cdr:relSizeAnchor>
  <cdr:relSizeAnchor xmlns:cdr="http://schemas.openxmlformats.org/drawingml/2006/chartDrawing">
    <cdr:from>
      <cdr:x>0.3055</cdr:x>
      <cdr:y>0.61025</cdr:y>
    </cdr:from>
    <cdr:to>
      <cdr:x>0.509</cdr:x>
      <cdr:y>0.611</cdr:y>
    </cdr:to>
    <cdr:sp macro="" textlink="">
      <cdr:nvSpPr>
        <cdr:cNvPr id="1045" name="Line 21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893335" y="1214840"/>
          <a:ext cx="595070" cy="149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0.573</cdr:x>
      <cdr:y>0.56875</cdr:y>
    </cdr:from>
    <cdr:to>
      <cdr:x>0.635</cdr:x>
      <cdr:y>0.65975</cdr:y>
    </cdr:to>
    <cdr:sp macro="" textlink="">
      <cdr:nvSpPr>
        <cdr:cNvPr id="1046" name="Text Box 2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75552" y="1132225"/>
          <a:ext cx="181299" cy="1811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B</a:t>
          </a:r>
        </a:p>
      </cdr:txBody>
    </cdr:sp>
  </cdr:relSizeAnchor>
  <cdr:relSizeAnchor xmlns:cdr="http://schemas.openxmlformats.org/drawingml/2006/chartDrawing">
    <cdr:from>
      <cdr:x>0.5895</cdr:x>
      <cdr:y>0.673</cdr:y>
    </cdr:from>
    <cdr:to>
      <cdr:x>0.756</cdr:x>
      <cdr:y>0.67375</cdr:y>
    </cdr:to>
    <cdr:sp macro="" textlink="">
      <cdr:nvSpPr>
        <cdr:cNvPr id="1047" name="Line 2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723801" y="1339758"/>
          <a:ext cx="486875" cy="149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0.7215</cdr:x>
      <cdr:y>0.1445</cdr:y>
    </cdr:from>
    <cdr:to>
      <cdr:x>0.72225</cdr:x>
      <cdr:y>0.673</cdr:y>
    </cdr:to>
    <cdr:sp macro="" textlink="">
      <cdr:nvSpPr>
        <cdr:cNvPr id="1048" name="Line 2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109792" y="287660"/>
          <a:ext cx="2193" cy="105209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 type="stealth" w="med" len="med"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0.87775</cdr:x>
      <cdr:y>0.6465</cdr:y>
    </cdr:from>
    <cdr:to>
      <cdr:x>0.93975</cdr:x>
      <cdr:y>0.7375</cdr:y>
    </cdr:to>
    <cdr:sp macro="" textlink="">
      <cdr:nvSpPr>
        <cdr:cNvPr id="1049" name="Text Box 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66695" y="1287004"/>
          <a:ext cx="181298" cy="1811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C</a:t>
          </a:r>
        </a:p>
      </cdr:txBody>
    </cdr:sp>
  </cdr:relSizeAnchor>
  <cdr:relSizeAnchor xmlns:cdr="http://schemas.openxmlformats.org/drawingml/2006/chartDrawing">
    <cdr:from>
      <cdr:x>0.09925</cdr:x>
      <cdr:y>0.74325</cdr:y>
    </cdr:from>
    <cdr:to>
      <cdr:x>0.89325</cdr:x>
      <cdr:y>0.7455</cdr:y>
    </cdr:to>
    <cdr:sp macro="" textlink="">
      <cdr:nvSpPr>
        <cdr:cNvPr id="1050" name="Freeform 26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290224" y="1479606"/>
          <a:ext cx="2321795" cy="4479"/>
        </a:xfrm>
        <a:custGeom xmlns:a="http://schemas.openxmlformats.org/drawingml/2006/main">
          <a:avLst/>
          <a:gdLst>
            <a:gd name="T0" fmla="*/ 2321154 w 2321154"/>
            <a:gd name="T1" fmla="*/ 0 h 4786"/>
            <a:gd name="T2" fmla="*/ 0 w 2321154"/>
            <a:gd name="T3" fmla="*/ 4786 h 4786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2321154" h="4786">
              <a:moveTo>
                <a:pt x="2321154" y="0"/>
              </a:moveTo>
              <a:lnTo>
                <a:pt x="0" y="4786"/>
              </a:lnTo>
            </a:path>
          </a:pathLst>
        </a:cu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0.96575</cdr:x>
      <cdr:y>0.8015</cdr:y>
    </cdr:from>
    <cdr:to>
      <cdr:x>0.99025</cdr:x>
      <cdr:y>0.8015</cdr:y>
    </cdr:to>
    <cdr:sp macro="" textlink="">
      <cdr:nvSpPr>
        <cdr:cNvPr id="1051" name="Line 2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824022" y="1595566"/>
          <a:ext cx="71642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0.1025</cdr:x>
      <cdr:y>0.01825</cdr:y>
    </cdr:from>
    <cdr:to>
      <cdr:x>0.10275</cdr:x>
      <cdr:y>0.04525</cdr:y>
    </cdr:to>
    <cdr:sp macro="" textlink="">
      <cdr:nvSpPr>
        <cdr:cNvPr id="1052" name="Freeform 28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299728" y="36331"/>
          <a:ext cx="731" cy="53749"/>
        </a:xfrm>
        <a:custGeom xmlns:a="http://schemas.openxmlformats.org/drawingml/2006/main">
          <a:avLst/>
          <a:gdLst>
            <a:gd name="T0" fmla="*/ 0 w 1"/>
            <a:gd name="T1" fmla="*/ 57425 h 57425"/>
            <a:gd name="T2" fmla="*/ 0 w 1"/>
            <a:gd name="T3" fmla="*/ 0 h 57425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1" h="57425">
              <a:moveTo>
                <a:pt x="0" y="57425"/>
              </a:moveTo>
              <a:lnTo>
                <a:pt x="0" y="0"/>
              </a:lnTo>
            </a:path>
          </a:pathLst>
        </a:custGeom>
        <a:noFill xmlns:a="http://schemas.openxmlformats.org/drawingml/2006/main"/>
        <a:ln xmlns:a="http://schemas.openxmlformats.org/drawingml/2006/main" w="9525" cap="flat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prstDash val="solid"/>
          <a:round/>
          <a:headEnd type="none" w="med" len="med"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0.65175</cdr:x>
      <cdr:y>0.69075</cdr:y>
    </cdr:from>
    <cdr:to>
      <cdr:x>0.6955</cdr:x>
      <cdr:y>0.74925</cdr:y>
    </cdr:to>
    <cdr:sp macro="" textlink="">
      <cdr:nvSpPr>
        <cdr:cNvPr id="1039" name="Text Box 1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59157" y="2138303"/>
          <a:ext cx="218778" cy="1810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C</a:t>
          </a:r>
        </a:p>
      </cdr:txBody>
    </cdr:sp>
  </cdr:relSizeAnchor>
  <cdr:relSizeAnchor xmlns:cdr="http://schemas.openxmlformats.org/drawingml/2006/chartDrawing">
    <cdr:from>
      <cdr:x>0.23925</cdr:x>
      <cdr:y>0.53</cdr:y>
    </cdr:from>
    <cdr:to>
      <cdr:x>0.27725</cdr:x>
      <cdr:y>0.60075</cdr:y>
    </cdr:to>
    <cdr:sp macro="" textlink="">
      <cdr:nvSpPr>
        <cdr:cNvPr id="1046" name="Text Box 2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96400" y="1640681"/>
          <a:ext cx="190023" cy="21901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A</a:t>
          </a:r>
        </a:p>
      </cdr:txBody>
    </cdr:sp>
  </cdr:relSizeAnchor>
  <cdr:relSizeAnchor xmlns:cdr="http://schemas.openxmlformats.org/drawingml/2006/chartDrawing">
    <cdr:from>
      <cdr:x>0.78575</cdr:x>
      <cdr:y>0.58775</cdr:y>
    </cdr:from>
    <cdr:to>
      <cdr:x>0.82375</cdr:x>
      <cdr:y>0.6585</cdr:y>
    </cdr:to>
    <cdr:sp macro="" textlink="">
      <cdr:nvSpPr>
        <cdr:cNvPr id="1047" name="Text Box 2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929241" y="1819454"/>
          <a:ext cx="190024" cy="21901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B</a:t>
          </a:r>
        </a:p>
      </cdr:txBody>
    </cdr:sp>
  </cdr:relSizeAnchor>
  <cdr:relSizeAnchor xmlns:cdr="http://schemas.openxmlformats.org/drawingml/2006/chartDrawing">
    <cdr:from>
      <cdr:x>0.293</cdr:x>
      <cdr:y>0.587</cdr:y>
    </cdr:from>
    <cdr:to>
      <cdr:x>0.6835</cdr:x>
      <cdr:y>0.587</cdr:y>
    </cdr:to>
    <cdr:sp macro="" textlink="">
      <cdr:nvSpPr>
        <cdr:cNvPr id="1048" name="Freeform 24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1465183" y="1817132"/>
          <a:ext cx="1952744" cy="0"/>
        </a:xfrm>
        <a:custGeom xmlns:a="http://schemas.openxmlformats.org/drawingml/2006/main">
          <a:avLst/>
          <a:gdLst>
            <a:gd name="T0" fmla="*/ 0 w 1950688"/>
            <a:gd name="T1" fmla="*/ 0 h 1"/>
            <a:gd name="T2" fmla="*/ 1950688 w 1950688"/>
            <a:gd name="T3" fmla="*/ 0 h 1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1950688" h="1">
              <a:moveTo>
                <a:pt x="0" y="0"/>
              </a:moveTo>
              <a:lnTo>
                <a:pt x="1950688" y="0"/>
              </a:lnTo>
            </a:path>
          </a:pathLst>
        </a:cu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0.45</cdr:x>
      <cdr:y>0.1425</cdr:y>
    </cdr:from>
    <cdr:to>
      <cdr:x>0.45</cdr:x>
      <cdr:y>0.58275</cdr:y>
    </cdr:to>
    <cdr:sp macro="" textlink="">
      <cdr:nvSpPr>
        <cdr:cNvPr id="1049" name="Freeform 25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2250281" y="441127"/>
          <a:ext cx="0" cy="1362848"/>
        </a:xfrm>
        <a:custGeom xmlns:a="http://schemas.openxmlformats.org/drawingml/2006/main">
          <a:avLst/>
          <a:gdLst>
            <a:gd name="T0" fmla="*/ 0 w 1"/>
            <a:gd name="T1" fmla="*/ 0 h 1366652"/>
            <a:gd name="T2" fmla="*/ 0 w 1"/>
            <a:gd name="T3" fmla="*/ 1366652 h 1366652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1" h="1366652">
              <a:moveTo>
                <a:pt x="0" y="0"/>
              </a:moveTo>
              <a:lnTo>
                <a:pt x="0" y="1366652"/>
              </a:lnTo>
            </a:path>
          </a:pathLst>
        </a:custGeom>
        <a:noFill xmlns:a="http://schemas.openxmlformats.org/drawingml/2006/main"/>
        <a:ln xmlns:a="http://schemas.openxmlformats.org/drawingml/2006/main" w="9525" cap="flat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prstDash val="solid"/>
          <a:round/>
          <a:headEnd type="stealth" w="med" len="med"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0.58425</cdr:x>
      <cdr:y>0.079</cdr:y>
    </cdr:from>
    <cdr:to>
      <cdr:x>0.58425</cdr:x>
      <cdr:y>0.58275</cdr:y>
    </cdr:to>
    <cdr:sp macro="" textlink="">
      <cdr:nvSpPr>
        <cdr:cNvPr id="1050" name="Freeform 26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2921615" y="244554"/>
          <a:ext cx="0" cy="1559421"/>
        </a:xfrm>
        <a:custGeom xmlns:a="http://schemas.openxmlformats.org/drawingml/2006/main">
          <a:avLst/>
          <a:gdLst>
            <a:gd name="T0" fmla="*/ 0 w 1"/>
            <a:gd name="T1" fmla="*/ 0 h 1563704"/>
            <a:gd name="T2" fmla="*/ 0 w 1"/>
            <a:gd name="T3" fmla="*/ 1563704 h 1563704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1" h="1563704">
              <a:moveTo>
                <a:pt x="0" y="0"/>
              </a:moveTo>
              <a:lnTo>
                <a:pt x="0" y="1563704"/>
              </a:lnTo>
            </a:path>
          </a:pathLst>
        </a:custGeom>
        <a:noFill xmlns:a="http://schemas.openxmlformats.org/drawingml/2006/main"/>
        <a:ln xmlns:a="http://schemas.openxmlformats.org/drawingml/2006/main" w="9525" cap="flat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prstDash val="solid"/>
          <a:round/>
          <a:headEnd type="stealth" w="med" len="med"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0.303</cdr:x>
      <cdr:y>0.4145</cdr:y>
    </cdr:from>
    <cdr:to>
      <cdr:x>0.45</cdr:x>
      <cdr:y>0.65225</cdr:y>
    </cdr:to>
    <cdr:sp macro="" textlink="">
      <cdr:nvSpPr>
        <cdr:cNvPr id="1052" name="Freeform 28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1515189" y="1283137"/>
          <a:ext cx="735092" cy="735984"/>
        </a:xfrm>
        <a:custGeom xmlns:a="http://schemas.openxmlformats.org/drawingml/2006/main">
          <a:avLst/>
          <a:gdLst>
            <a:gd name="T0" fmla="*/ 0 w 737068"/>
            <a:gd name="T1" fmla="*/ 737357 h 737357"/>
            <a:gd name="T2" fmla="*/ 737068 w 737068"/>
            <a:gd name="T3" fmla="*/ 0 h 737357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737068" h="737357">
              <a:moveTo>
                <a:pt x="0" y="737357"/>
              </a:moveTo>
              <a:lnTo>
                <a:pt x="737068" y="0"/>
              </a:lnTo>
            </a:path>
          </a:pathLst>
        </a:cu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0.2575</cdr:x>
      <cdr:y>0.6405</cdr:y>
    </cdr:from>
    <cdr:to>
      <cdr:x>0.34125</cdr:x>
      <cdr:y>0.7235</cdr:y>
    </cdr:to>
    <cdr:sp macro="" textlink="">
      <cdr:nvSpPr>
        <cdr:cNvPr id="1053" name="Text Box 2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87661" y="1982748"/>
          <a:ext cx="418802" cy="2569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E</a:t>
          </a:r>
          <a:r>
            <a:rPr lang="ru-RU" sz="1000" b="0" i="0" u="none" strike="noStrike" baseline="-25000">
              <a:solidFill>
                <a:srgbClr val="000000"/>
              </a:solidFill>
              <a:latin typeface="Arial"/>
              <a:cs typeface="Arial"/>
            </a:rPr>
            <a:t>a, AC</a:t>
          </a:r>
        </a:p>
      </cdr:txBody>
    </cdr:sp>
  </cdr:relSizeAnchor>
  <cdr:relSizeAnchor xmlns:cdr="http://schemas.openxmlformats.org/drawingml/2006/chartDrawing">
    <cdr:from>
      <cdr:x>0.58425</cdr:x>
      <cdr:y>0.32575</cdr:y>
    </cdr:from>
    <cdr:to>
      <cdr:x>0.721</cdr:x>
      <cdr:y>0.32675</cdr:y>
    </cdr:to>
    <cdr:sp macro="" textlink="">
      <cdr:nvSpPr>
        <cdr:cNvPr id="1055" name="Line 31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2921615" y="1008400"/>
          <a:ext cx="683836" cy="309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0.733</cdr:x>
      <cdr:y>0.284</cdr:y>
    </cdr:from>
    <cdr:to>
      <cdr:x>0.81675</cdr:x>
      <cdr:y>0.367</cdr:y>
    </cdr:to>
    <cdr:sp macro="" textlink="">
      <cdr:nvSpPr>
        <cdr:cNvPr id="1056" name="Text Box 3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665458" y="879158"/>
          <a:ext cx="418802" cy="25693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E</a:t>
          </a:r>
          <a:r>
            <a:rPr lang="ru-RU" sz="1000" b="0" i="0" u="none" strike="noStrike" baseline="-25000">
              <a:solidFill>
                <a:srgbClr val="000000"/>
              </a:solidFill>
              <a:latin typeface="Arial"/>
              <a:cs typeface="Arial"/>
            </a:rPr>
            <a:t>a, AB</a:t>
          </a:r>
        </a:p>
      </cdr:txBody>
    </cdr:sp>
  </cdr:relSizeAnchor>
  <cdr:relSizeAnchor xmlns:cdr="http://schemas.openxmlformats.org/drawingml/2006/chartDrawing">
    <cdr:from>
      <cdr:x>0.503</cdr:x>
      <cdr:y>0.643</cdr:y>
    </cdr:from>
    <cdr:to>
      <cdr:x>0.77575</cdr:x>
      <cdr:y>0.64475</cdr:y>
    </cdr:to>
    <cdr:sp macro="" textlink="">
      <cdr:nvSpPr>
        <cdr:cNvPr id="1057" name="Freeform 33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2515314" y="1990487"/>
          <a:ext cx="1363921" cy="5417"/>
        </a:xfrm>
        <a:custGeom xmlns:a="http://schemas.openxmlformats.org/drawingml/2006/main">
          <a:avLst/>
          <a:gdLst>
            <a:gd name="T0" fmla="*/ 1366117 w 1366117"/>
            <a:gd name="T1" fmla="*/ 0 h 1"/>
            <a:gd name="T2" fmla="*/ 0 w 1366117"/>
            <a:gd name="T3" fmla="*/ 0 h 1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1366117" h="1">
              <a:moveTo>
                <a:pt x="1366117" y="0"/>
              </a:moveTo>
              <a:lnTo>
                <a:pt x="0" y="0"/>
              </a:lnTo>
            </a:path>
          </a:pathLst>
        </a:cu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 type="none" w="med" len="med"/>
          <a:tailEnd type="non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0.63625</cdr:x>
      <cdr:y>0.587</cdr:y>
    </cdr:from>
    <cdr:to>
      <cdr:x>0.63625</cdr:x>
      <cdr:y>0.64725</cdr:y>
    </cdr:to>
    <cdr:sp macro="" textlink="">
      <cdr:nvSpPr>
        <cdr:cNvPr id="1058" name="Line 3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3181648" y="1817132"/>
          <a:ext cx="0" cy="18651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 type="stealth" w="sm" len="sm"/>
          <a:tailEnd type="stealth" w="sm" len="sm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0.461</cdr:x>
      <cdr:y>0.7545</cdr:y>
    </cdr:from>
    <cdr:to>
      <cdr:x>0.6335</cdr:x>
      <cdr:y>0.7545</cdr:y>
    </cdr:to>
    <cdr:sp macro="" textlink="">
      <cdr:nvSpPr>
        <cdr:cNvPr id="1059" name="Freeform 35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2305288" y="2335649"/>
          <a:ext cx="862608" cy="0"/>
        </a:xfrm>
        <a:custGeom xmlns:a="http://schemas.openxmlformats.org/drawingml/2006/main">
          <a:avLst/>
          <a:gdLst>
            <a:gd name="T0" fmla="*/ 864149 w 864149"/>
            <a:gd name="T1" fmla="*/ 0 h 1"/>
            <a:gd name="T2" fmla="*/ 0 w 864149"/>
            <a:gd name="T3" fmla="*/ 0 h 1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864149" h="1">
              <a:moveTo>
                <a:pt x="864149" y="0"/>
              </a:moveTo>
              <a:lnTo>
                <a:pt x="0" y="0"/>
              </a:lnTo>
            </a:path>
          </a:pathLst>
        </a:cu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 type="none" w="med" len="med"/>
          <a:tailEnd type="non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0.503</cdr:x>
      <cdr:y>0.587</cdr:y>
    </cdr:from>
    <cdr:to>
      <cdr:x>0.50575</cdr:x>
      <cdr:y>0.752</cdr:y>
    </cdr:to>
    <cdr:sp macro="" textlink="">
      <cdr:nvSpPr>
        <cdr:cNvPr id="1060" name="Freeform 36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2515314" y="1817132"/>
          <a:ext cx="13752" cy="510778"/>
        </a:xfrm>
        <a:custGeom xmlns:a="http://schemas.openxmlformats.org/drawingml/2006/main">
          <a:avLst/>
          <a:gdLst>
            <a:gd name="T0" fmla="*/ 0 w 1"/>
            <a:gd name="T1" fmla="*/ 0 h 514878"/>
            <a:gd name="T2" fmla="*/ 0 w 1"/>
            <a:gd name="T3" fmla="*/ 514878 h 514878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1" h="514878">
              <a:moveTo>
                <a:pt x="0" y="0"/>
              </a:moveTo>
              <a:lnTo>
                <a:pt x="0" y="514878"/>
              </a:lnTo>
            </a:path>
          </a:pathLst>
        </a:custGeom>
        <a:noFill xmlns:a="http://schemas.openxmlformats.org/drawingml/2006/main"/>
        <a:ln xmlns:a="http://schemas.openxmlformats.org/drawingml/2006/main" w="9525" cap="flat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prstDash val="solid"/>
          <a:round/>
          <a:headEnd type="stealth" w="med" len="med"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0.63625</cdr:x>
      <cdr:y>0.58775</cdr:y>
    </cdr:from>
    <cdr:to>
      <cdr:x>0.703</cdr:x>
      <cdr:y>0.66475</cdr:y>
    </cdr:to>
    <cdr:sp macro="" textlink="">
      <cdr:nvSpPr>
        <cdr:cNvPr id="1061" name="Text Box 3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81648" y="1819454"/>
          <a:ext cx="333791" cy="2383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</a:rPr>
            <a:t>D</a:t>
          </a: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H</a:t>
          </a:r>
          <a:r>
            <a:rPr lang="ru-RU" sz="1000" b="0" i="0" u="none" strike="noStrike" baseline="-25000">
              <a:solidFill>
                <a:srgbClr val="000000"/>
              </a:solidFill>
              <a:latin typeface="Arial"/>
              <a:cs typeface="Arial"/>
            </a:rPr>
            <a:t>B</a:t>
          </a:r>
        </a:p>
      </cdr:txBody>
    </cdr:sp>
  </cdr:relSizeAnchor>
  <cdr:relSizeAnchor xmlns:cdr="http://schemas.openxmlformats.org/drawingml/2006/chartDrawing">
    <cdr:from>
      <cdr:x>0.43825</cdr:x>
      <cdr:y>0.6405</cdr:y>
    </cdr:from>
    <cdr:to>
      <cdr:x>0.505</cdr:x>
      <cdr:y>0.702</cdr:y>
    </cdr:to>
    <cdr:sp macro="" textlink="">
      <cdr:nvSpPr>
        <cdr:cNvPr id="1062" name="Text Box 3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91524" y="1982748"/>
          <a:ext cx="333792" cy="1903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</a:rPr>
            <a:t>D</a:t>
          </a: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H</a:t>
          </a:r>
          <a:r>
            <a:rPr lang="ru-RU" sz="1000" b="0" i="0" u="none" strike="noStrike" baseline="-25000">
              <a:solidFill>
                <a:srgbClr val="000000"/>
              </a:solidFill>
              <a:latin typeface="Arial"/>
              <a:cs typeface="Arial"/>
            </a:rPr>
            <a:t>C</a:t>
          </a:r>
        </a:p>
      </cdr:txBody>
    </cdr:sp>
  </cdr:relSizeAnchor>
  <cdr:relSizeAnchor xmlns:cdr="http://schemas.openxmlformats.org/drawingml/2006/chartDrawing">
    <cdr:from>
      <cdr:x>0.97825</cdr:x>
      <cdr:y>0.869</cdr:y>
    </cdr:from>
    <cdr:to>
      <cdr:x>0.986</cdr:x>
      <cdr:y>0.869</cdr:y>
    </cdr:to>
    <cdr:sp macro="" textlink="">
      <cdr:nvSpPr>
        <cdr:cNvPr id="1063" name="Line 39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4891861" y="2690098"/>
          <a:ext cx="38755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0.06675</cdr:x>
      <cdr:y>0.0295</cdr:y>
    </cdr:from>
    <cdr:to>
      <cdr:x>0.06675</cdr:x>
      <cdr:y>0.05225</cdr:y>
    </cdr:to>
    <cdr:sp macro="" textlink="">
      <cdr:nvSpPr>
        <cdr:cNvPr id="1065" name="Freeform 41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333792" y="91321"/>
          <a:ext cx="0" cy="70425"/>
        </a:xfrm>
        <a:custGeom xmlns:a="http://schemas.openxmlformats.org/drawingml/2006/main">
          <a:avLst/>
          <a:gdLst>
            <a:gd name="T0" fmla="*/ 0 w 1"/>
            <a:gd name="T1" fmla="*/ 69923 h 69923"/>
            <a:gd name="T2" fmla="*/ 0 w 1"/>
            <a:gd name="T3" fmla="*/ 0 h 69923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1" h="69923">
              <a:moveTo>
                <a:pt x="0" y="69923"/>
              </a:moveTo>
              <a:lnTo>
                <a:pt x="0" y="0"/>
              </a:lnTo>
            </a:path>
          </a:pathLst>
        </a:custGeom>
        <a:noFill xmlns:a="http://schemas.openxmlformats.org/drawingml/2006/main"/>
        <a:ln xmlns:a="http://schemas.openxmlformats.org/drawingml/2006/main" w="9525" cap="flat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prstDash val="solid"/>
          <a:round/>
          <a:headEnd type="none" w="med" len="med"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0.5585</cdr:x>
      <cdr:y>0.6105</cdr:y>
    </cdr:from>
    <cdr:to>
      <cdr:x>0.60225</cdr:x>
      <cdr:y>0.669</cdr:y>
    </cdr:to>
    <cdr:sp macro="" textlink="">
      <cdr:nvSpPr>
        <cdr:cNvPr id="1039" name="Text Box 1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92849" y="1889879"/>
          <a:ext cx="218777" cy="1810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C</a:t>
          </a:r>
        </a:p>
      </cdr:txBody>
    </cdr:sp>
  </cdr:relSizeAnchor>
  <cdr:relSizeAnchor xmlns:cdr="http://schemas.openxmlformats.org/drawingml/2006/chartDrawing">
    <cdr:from>
      <cdr:x>0.19075</cdr:x>
      <cdr:y>0.53</cdr:y>
    </cdr:from>
    <cdr:to>
      <cdr:x>0.22875</cdr:x>
      <cdr:y>0.60075</cdr:y>
    </cdr:to>
    <cdr:sp macro="" textlink="">
      <cdr:nvSpPr>
        <cdr:cNvPr id="1046" name="Text Box 2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53869" y="1640681"/>
          <a:ext cx="190024" cy="21901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A</a:t>
          </a:r>
        </a:p>
      </cdr:txBody>
    </cdr:sp>
  </cdr:relSizeAnchor>
  <cdr:relSizeAnchor xmlns:cdr="http://schemas.openxmlformats.org/drawingml/2006/chartDrawing">
    <cdr:from>
      <cdr:x>0.84975</cdr:x>
      <cdr:y>0.711</cdr:y>
    </cdr:from>
    <cdr:to>
      <cdr:x>0.88775</cdr:x>
      <cdr:y>0.78175</cdr:y>
    </cdr:to>
    <cdr:sp macro="" textlink="">
      <cdr:nvSpPr>
        <cdr:cNvPr id="1047" name="Text Box 2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249281" y="2200989"/>
          <a:ext cx="190024" cy="21901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B</a:t>
          </a:r>
        </a:p>
      </cdr:txBody>
    </cdr:sp>
  </cdr:relSizeAnchor>
  <cdr:relSizeAnchor xmlns:cdr="http://schemas.openxmlformats.org/drawingml/2006/chartDrawing">
    <cdr:from>
      <cdr:x>0.522</cdr:x>
      <cdr:y>0.346</cdr:y>
    </cdr:from>
    <cdr:to>
      <cdr:x>0.60575</cdr:x>
      <cdr:y>0.429</cdr:y>
    </cdr:to>
    <cdr:sp macro="" textlink="">
      <cdr:nvSpPr>
        <cdr:cNvPr id="1053" name="Text Box 2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10326" y="1071086"/>
          <a:ext cx="418803" cy="2569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E</a:t>
          </a:r>
          <a:r>
            <a:rPr lang="ru-RU" sz="1000" b="0" i="0" u="none" strike="noStrike" baseline="-25000">
              <a:solidFill>
                <a:srgbClr val="000000"/>
              </a:solidFill>
              <a:latin typeface="Arial"/>
              <a:cs typeface="Arial"/>
            </a:rPr>
            <a:t>a, AC</a:t>
          </a:r>
        </a:p>
      </cdr:txBody>
    </cdr:sp>
  </cdr:relSizeAnchor>
  <cdr:relSizeAnchor xmlns:cdr="http://schemas.openxmlformats.org/drawingml/2006/chartDrawing">
    <cdr:from>
      <cdr:x>0.733</cdr:x>
      <cdr:y>0.284</cdr:y>
    </cdr:from>
    <cdr:to>
      <cdr:x>0.82625</cdr:x>
      <cdr:y>0.367</cdr:y>
    </cdr:to>
    <cdr:sp macro="" textlink="">
      <cdr:nvSpPr>
        <cdr:cNvPr id="1056" name="Text Box 3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665458" y="879158"/>
          <a:ext cx="466308" cy="25693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E''</a:t>
          </a:r>
          <a:r>
            <a:rPr lang="ru-RU" sz="1000" b="0" i="0" u="none" strike="noStrike" baseline="-25000">
              <a:solidFill>
                <a:srgbClr val="000000"/>
              </a:solidFill>
              <a:latin typeface="Arial"/>
              <a:cs typeface="Arial"/>
            </a:rPr>
            <a:t>a, CB</a:t>
          </a:r>
        </a:p>
      </cdr:txBody>
    </cdr:sp>
  </cdr:relSizeAnchor>
  <cdr:relSizeAnchor xmlns:cdr="http://schemas.openxmlformats.org/drawingml/2006/chartDrawing">
    <cdr:from>
      <cdr:x>0.493</cdr:x>
      <cdr:y>0.602</cdr:y>
    </cdr:from>
    <cdr:to>
      <cdr:x>0.55975</cdr:x>
      <cdr:y>0.6665</cdr:y>
    </cdr:to>
    <cdr:sp macro="" textlink="">
      <cdr:nvSpPr>
        <cdr:cNvPr id="1061" name="Text Box 3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65308" y="1863566"/>
          <a:ext cx="333792" cy="1996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</a:rPr>
            <a:t>D</a:t>
          </a: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H</a:t>
          </a:r>
          <a:r>
            <a:rPr lang="ru-RU" sz="1000" b="0" i="0" u="none" strike="noStrike" baseline="-25000">
              <a:solidFill>
                <a:srgbClr val="000000"/>
              </a:solidFill>
              <a:latin typeface="Arial"/>
              <a:cs typeface="Arial"/>
            </a:rPr>
            <a:t>C</a:t>
          </a:r>
        </a:p>
      </cdr:txBody>
    </cdr:sp>
  </cdr:relSizeAnchor>
  <cdr:relSizeAnchor xmlns:cdr="http://schemas.openxmlformats.org/drawingml/2006/chartDrawing">
    <cdr:from>
      <cdr:x>0.97825</cdr:x>
      <cdr:y>0.864</cdr:y>
    </cdr:from>
    <cdr:to>
      <cdr:x>0.98575</cdr:x>
      <cdr:y>0.864</cdr:y>
    </cdr:to>
    <cdr:sp macro="" textlink="">
      <cdr:nvSpPr>
        <cdr:cNvPr id="1063" name="Line 39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4891861" y="2674620"/>
          <a:ext cx="37505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0.06775</cdr:x>
      <cdr:y>0.0295</cdr:y>
    </cdr:from>
    <cdr:to>
      <cdr:x>0.06775</cdr:x>
      <cdr:y>0.05225</cdr:y>
    </cdr:to>
    <cdr:sp macro="" textlink="">
      <cdr:nvSpPr>
        <cdr:cNvPr id="1065" name="Freeform 41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338792" y="91321"/>
          <a:ext cx="0" cy="70425"/>
        </a:xfrm>
        <a:custGeom xmlns:a="http://schemas.openxmlformats.org/drawingml/2006/main">
          <a:avLst/>
          <a:gdLst>
            <a:gd name="T0" fmla="*/ 0 w 1"/>
            <a:gd name="T1" fmla="*/ 69923 h 69923"/>
            <a:gd name="T2" fmla="*/ 0 w 1"/>
            <a:gd name="T3" fmla="*/ 0 h 69923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1" h="69923">
              <a:moveTo>
                <a:pt x="0" y="69923"/>
              </a:moveTo>
              <a:lnTo>
                <a:pt x="0" y="0"/>
              </a:lnTo>
            </a:path>
          </a:pathLst>
        </a:custGeom>
        <a:noFill xmlns:a="http://schemas.openxmlformats.org/drawingml/2006/main"/>
        <a:ln xmlns:a="http://schemas.openxmlformats.org/drawingml/2006/main" w="9525" cap="flat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prstDash val="solid"/>
          <a:round/>
          <a:headEnd type="none" w="med" len="med"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0.23275</cdr:x>
      <cdr:y>0.58625</cdr:y>
    </cdr:from>
    <cdr:to>
      <cdr:x>0.4875</cdr:x>
      <cdr:y>0.58625</cdr:y>
    </cdr:to>
    <cdr:sp macro="" textlink="">
      <cdr:nvSpPr>
        <cdr:cNvPr id="1066" name="Freeform 42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1163895" y="1814810"/>
          <a:ext cx="1273910" cy="0"/>
        </a:xfrm>
        <a:custGeom xmlns:a="http://schemas.openxmlformats.org/drawingml/2006/main">
          <a:avLst/>
          <a:gdLst>
            <a:gd name="T0" fmla="*/ 0 w 1277161"/>
            <a:gd name="T1" fmla="*/ 0 h 1"/>
            <a:gd name="T2" fmla="*/ 1277161 w 1277161"/>
            <a:gd name="T3" fmla="*/ 0 h 1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1277161" h="1">
              <a:moveTo>
                <a:pt x="0" y="0"/>
              </a:moveTo>
              <a:lnTo>
                <a:pt x="1277161" y="0"/>
              </a:lnTo>
            </a:path>
          </a:pathLst>
        </a:cu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 type="none" w="med" len="med"/>
          <a:tailEnd type="non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0.368</cdr:x>
      <cdr:y>0.10325</cdr:y>
    </cdr:from>
    <cdr:to>
      <cdr:x>0.368</cdr:x>
      <cdr:y>0.58625</cdr:y>
    </cdr:to>
    <cdr:sp macro="" textlink="">
      <cdr:nvSpPr>
        <cdr:cNvPr id="1067" name="Line 4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840230" y="319623"/>
          <a:ext cx="0" cy="149518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 type="stealth" w="med" len="med"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0.4665</cdr:x>
      <cdr:y>0.309</cdr:y>
    </cdr:from>
    <cdr:to>
      <cdr:x>0.4665</cdr:x>
      <cdr:y>0.58625</cdr:y>
    </cdr:to>
    <cdr:sp macro="" textlink="">
      <cdr:nvSpPr>
        <cdr:cNvPr id="1068" name="Line 4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332792" y="956548"/>
          <a:ext cx="0" cy="85826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 type="stealth" w="med" len="med"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0.4665</cdr:x>
      <cdr:y>0.39125</cdr:y>
    </cdr:from>
    <cdr:to>
      <cdr:x>0.52125</cdr:x>
      <cdr:y>0.45475</cdr:y>
    </cdr:to>
    <cdr:sp macro="" textlink="">
      <cdr:nvSpPr>
        <cdr:cNvPr id="1069" name="Line 45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2332792" y="1211163"/>
          <a:ext cx="273784" cy="19657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0.43</cdr:x>
      <cdr:y>0.6825</cdr:y>
    </cdr:from>
    <cdr:to>
      <cdr:x>0.71725</cdr:x>
      <cdr:y>0.6825</cdr:y>
    </cdr:to>
    <cdr:sp macro="" textlink="">
      <cdr:nvSpPr>
        <cdr:cNvPr id="1070" name="Freeform 46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2150269" y="2112764"/>
          <a:ext cx="1436429" cy="0"/>
        </a:xfrm>
        <a:custGeom xmlns:a="http://schemas.openxmlformats.org/drawingml/2006/main">
          <a:avLst/>
          <a:gdLst>
            <a:gd name="T0" fmla="*/ 0 w 1442365"/>
            <a:gd name="T1" fmla="*/ 0 h 1"/>
            <a:gd name="T2" fmla="*/ 1442365 w 1442365"/>
            <a:gd name="T3" fmla="*/ 0 h 1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1442365" h="1">
              <a:moveTo>
                <a:pt x="0" y="0"/>
              </a:moveTo>
              <a:lnTo>
                <a:pt x="1442365" y="0"/>
              </a:lnTo>
            </a:path>
          </a:pathLst>
        </a:cu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 type="none" w="med" len="med"/>
          <a:tailEnd type="non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0.6755</cdr:x>
      <cdr:y>0.5</cdr:y>
    </cdr:from>
    <cdr:to>
      <cdr:x>0.67625</cdr:x>
      <cdr:y>0.6825</cdr:y>
    </cdr:to>
    <cdr:sp macro="" textlink="">
      <cdr:nvSpPr>
        <cdr:cNvPr id="1071" name="Line 4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3377922" y="1547813"/>
          <a:ext cx="3751" cy="56495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 type="stealth" w="med" len="med"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0.6755</cdr:x>
      <cdr:y>0.21025</cdr:y>
    </cdr:from>
    <cdr:to>
      <cdr:x>0.67625</cdr:x>
      <cdr:y>0.6825</cdr:y>
    </cdr:to>
    <cdr:sp macro="" textlink="">
      <cdr:nvSpPr>
        <cdr:cNvPr id="1072" name="Line 48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 flipV="1">
          <a:off x="3377922" y="650855"/>
          <a:ext cx="3751" cy="1461909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 type="stealth" w="med" len="med"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0.26375</cdr:x>
      <cdr:y>0.34425</cdr:y>
    </cdr:from>
    <cdr:to>
      <cdr:x>0.368</cdr:x>
      <cdr:y>0.64225</cdr:y>
    </cdr:to>
    <cdr:sp macro="" textlink="">
      <cdr:nvSpPr>
        <cdr:cNvPr id="1073" name="Line 49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1318915" y="1065669"/>
          <a:ext cx="521315" cy="92249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0.232</cdr:x>
      <cdr:y>0.62475</cdr:y>
    </cdr:from>
    <cdr:to>
      <cdr:x>0.31575</cdr:x>
      <cdr:y>0.70775</cdr:y>
    </cdr:to>
    <cdr:sp macro="" textlink="">
      <cdr:nvSpPr>
        <cdr:cNvPr id="1074" name="Text Box 5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60145" y="1933992"/>
          <a:ext cx="418802" cy="2569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E</a:t>
          </a:r>
          <a:r>
            <a:rPr lang="ru-RU" sz="1000" b="0" i="0" u="none" strike="noStrike" baseline="-25000">
              <a:solidFill>
                <a:srgbClr val="000000"/>
              </a:solidFill>
              <a:latin typeface="Arial"/>
              <a:cs typeface="Arial"/>
            </a:rPr>
            <a:t>a, AВ</a:t>
          </a:r>
        </a:p>
      </cdr:txBody>
    </cdr:sp>
  </cdr:relSizeAnchor>
  <cdr:relSizeAnchor xmlns:cdr="http://schemas.openxmlformats.org/drawingml/2006/chartDrawing">
    <cdr:from>
      <cdr:x>0.6755</cdr:x>
      <cdr:y>0.31925</cdr:y>
    </cdr:from>
    <cdr:to>
      <cdr:x>0.733</cdr:x>
      <cdr:y>0.37025</cdr:y>
    </cdr:to>
    <cdr:sp macro="" textlink="">
      <cdr:nvSpPr>
        <cdr:cNvPr id="1075" name="Line 51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3377922" y="988278"/>
          <a:ext cx="287536" cy="15787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0.78575</cdr:x>
      <cdr:y>0.567</cdr:y>
    </cdr:from>
    <cdr:to>
      <cdr:x>0.87525</cdr:x>
      <cdr:y>0.65</cdr:y>
    </cdr:to>
    <cdr:sp macro="" textlink="">
      <cdr:nvSpPr>
        <cdr:cNvPr id="1076" name="Text Box 5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929241" y="1755219"/>
          <a:ext cx="447556" cy="2569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E'</a:t>
          </a:r>
          <a:r>
            <a:rPr lang="ru-RU" sz="1000" b="0" i="0" u="none" strike="noStrike" baseline="-25000">
              <a:solidFill>
                <a:srgbClr val="000000"/>
              </a:solidFill>
              <a:latin typeface="Arial"/>
              <a:cs typeface="Arial"/>
            </a:rPr>
            <a:t>a, CB</a:t>
          </a:r>
        </a:p>
      </cdr:txBody>
    </cdr:sp>
  </cdr:relSizeAnchor>
  <cdr:relSizeAnchor xmlns:cdr="http://schemas.openxmlformats.org/drawingml/2006/chartDrawing">
    <cdr:from>
      <cdr:x>0.6755</cdr:x>
      <cdr:y>0.6095</cdr:y>
    </cdr:from>
    <cdr:to>
      <cdr:x>0.78575</cdr:x>
      <cdr:y>0.6105</cdr:y>
    </cdr:to>
    <cdr:sp macro="" textlink="">
      <cdr:nvSpPr>
        <cdr:cNvPr id="1078" name="Line 5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3377922" y="1886783"/>
          <a:ext cx="551319" cy="309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0.40075</cdr:x>
      <cdr:y>0.777</cdr:y>
    </cdr:from>
    <cdr:to>
      <cdr:x>0.597</cdr:x>
      <cdr:y>0.777</cdr:y>
    </cdr:to>
    <cdr:sp macro="" textlink="">
      <cdr:nvSpPr>
        <cdr:cNvPr id="1079" name="Freeform 55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2004000" y="2405301"/>
          <a:ext cx="981373" cy="0"/>
        </a:xfrm>
        <a:custGeom xmlns:a="http://schemas.openxmlformats.org/drawingml/2006/main">
          <a:avLst/>
          <a:gdLst>
            <a:gd name="T0" fmla="*/ 984875 w 984875"/>
            <a:gd name="T1" fmla="*/ 0 h 1"/>
            <a:gd name="T2" fmla="*/ 0 w 984875"/>
            <a:gd name="T3" fmla="*/ 0 h 1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984875" h="1">
              <a:moveTo>
                <a:pt x="984875" y="0"/>
              </a:moveTo>
              <a:lnTo>
                <a:pt x="0" y="0"/>
              </a:lnTo>
            </a:path>
          </a:pathLst>
        </a:cu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 type="none" w="med" len="med"/>
          <a:tailEnd type="non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0.43</cdr:x>
      <cdr:y>0.58525</cdr:y>
    </cdr:from>
    <cdr:to>
      <cdr:x>0.43</cdr:x>
      <cdr:y>0.777</cdr:y>
    </cdr:to>
    <cdr:sp macro="" textlink="">
      <cdr:nvSpPr>
        <cdr:cNvPr id="1080" name="Line 56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150269" y="1811715"/>
          <a:ext cx="0" cy="59358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 type="stealth" w="med" len="med"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0.48</cdr:x>
      <cdr:y>0.58525</cdr:y>
    </cdr:from>
    <cdr:to>
      <cdr:x>0.48</cdr:x>
      <cdr:y>0.6825</cdr:y>
    </cdr:to>
    <cdr:sp macro="" textlink="">
      <cdr:nvSpPr>
        <cdr:cNvPr id="1081" name="Line 5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400300" y="1811715"/>
          <a:ext cx="0" cy="301049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 type="stealth" w="med" len="med"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0.376</cdr:x>
      <cdr:y>0.6825</cdr:y>
    </cdr:from>
    <cdr:to>
      <cdr:x>0.44275</cdr:x>
      <cdr:y>0.747</cdr:y>
    </cdr:to>
    <cdr:sp macro="" textlink="">
      <cdr:nvSpPr>
        <cdr:cNvPr id="1082" name="Text Box 5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80235" y="2112764"/>
          <a:ext cx="333792" cy="1996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</a:rPr>
            <a:t>D</a:t>
          </a: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H</a:t>
          </a:r>
          <a:r>
            <a:rPr lang="ru-RU" sz="1000" b="0" i="0" u="none" strike="noStrike" baseline="-25000">
              <a:solidFill>
                <a:srgbClr val="000000"/>
              </a:solidFill>
              <a:latin typeface="Arial"/>
              <a:cs typeface="Arial"/>
            </a:rPr>
            <a:t>B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0.918</cdr:x>
      <cdr:y>0.73925</cdr:y>
    </cdr:from>
    <cdr:to>
      <cdr:x>0.96375</cdr:x>
      <cdr:y>0.80075</cdr:y>
    </cdr:to>
    <cdr:sp macro="" textlink="">
      <cdr:nvSpPr>
        <cdr:cNvPr id="1047" name="Text Box 2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590574" y="2288441"/>
          <a:ext cx="228778" cy="1903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AB</a:t>
          </a:r>
        </a:p>
      </cdr:txBody>
    </cdr:sp>
  </cdr:relSizeAnchor>
  <cdr:relSizeAnchor xmlns:cdr="http://schemas.openxmlformats.org/drawingml/2006/chartDrawing">
    <cdr:from>
      <cdr:x>0.17525</cdr:x>
      <cdr:y>0.649</cdr:y>
    </cdr:from>
    <cdr:to>
      <cdr:x>0.4135</cdr:x>
      <cdr:y>0.649</cdr:y>
    </cdr:to>
    <cdr:sp macro="" textlink="">
      <cdr:nvSpPr>
        <cdr:cNvPr id="1069" name="Freeform 45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876360" y="2009061"/>
          <a:ext cx="1191398" cy="0"/>
        </a:xfrm>
        <a:custGeom xmlns:a="http://schemas.openxmlformats.org/drawingml/2006/main">
          <a:avLst/>
          <a:gdLst>
            <a:gd name="T0" fmla="*/ 0 w 1204912"/>
            <a:gd name="T1" fmla="*/ 0 h 4763"/>
            <a:gd name="T2" fmla="*/ 1204912 w 1204912"/>
            <a:gd name="T3" fmla="*/ 4763 h 4763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1204912" h="4763">
              <a:moveTo>
                <a:pt x="0" y="0"/>
              </a:moveTo>
              <a:lnTo>
                <a:pt x="1204912" y="4763"/>
              </a:lnTo>
            </a:path>
          </a:pathLst>
        </a:cu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 type="none" w="med" len="med"/>
          <a:tailEnd type="non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0.368</cdr:x>
      <cdr:y>0.5</cdr:y>
    </cdr:from>
    <cdr:to>
      <cdr:x>0.368</cdr:x>
      <cdr:y>0.6465</cdr:y>
    </cdr:to>
    <cdr:sp macro="" textlink="">
      <cdr:nvSpPr>
        <cdr:cNvPr id="1070" name="Freeform 46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1840230" y="1547813"/>
          <a:ext cx="0" cy="453509"/>
        </a:xfrm>
        <a:custGeom xmlns:a="http://schemas.openxmlformats.org/drawingml/2006/main">
          <a:avLst/>
          <a:gdLst>
            <a:gd name="T0" fmla="*/ 0 w 1"/>
            <a:gd name="T1" fmla="*/ 0 h 457200"/>
            <a:gd name="T2" fmla="*/ 0 w 1"/>
            <a:gd name="T3" fmla="*/ 457200 h 457200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1" h="457200">
              <a:moveTo>
                <a:pt x="0" y="0"/>
              </a:moveTo>
              <a:lnTo>
                <a:pt x="0" y="457200"/>
              </a:lnTo>
            </a:path>
          </a:pathLst>
        </a:custGeom>
        <a:noFill xmlns:a="http://schemas.openxmlformats.org/drawingml/2006/main"/>
        <a:ln xmlns:a="http://schemas.openxmlformats.org/drawingml/2006/main" w="9525" cap="flat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prstDash val="solid"/>
          <a:round/>
          <a:headEnd type="stealth" w="med" len="med"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0.46825</cdr:x>
      <cdr:y>0.608</cdr:y>
    </cdr:from>
    <cdr:to>
      <cdr:x>0.626</cdr:x>
      <cdr:y>0.6095</cdr:y>
    </cdr:to>
    <cdr:sp macro="" textlink="">
      <cdr:nvSpPr>
        <cdr:cNvPr id="1071" name="Freeform 47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2341543" y="1882140"/>
          <a:ext cx="788848" cy="4643"/>
        </a:xfrm>
        <a:custGeom xmlns:a="http://schemas.openxmlformats.org/drawingml/2006/main">
          <a:avLst/>
          <a:gdLst>
            <a:gd name="T0" fmla="*/ 0 w 790575"/>
            <a:gd name="T1" fmla="*/ 4763 h 4763"/>
            <a:gd name="T2" fmla="*/ 790575 w 790575"/>
            <a:gd name="T3" fmla="*/ 0 h 4763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790575" h="4763">
              <a:moveTo>
                <a:pt x="0" y="4763"/>
              </a:moveTo>
              <a:lnTo>
                <a:pt x="790575" y="0"/>
              </a:lnTo>
            </a:path>
          </a:pathLst>
        </a:cu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 type="none" w="med" len="med"/>
          <a:tailEnd type="non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0.57225</cdr:x>
      <cdr:y>0.413</cdr:y>
    </cdr:from>
    <cdr:to>
      <cdr:x>0.57325</cdr:x>
      <cdr:y>0.607</cdr:y>
    </cdr:to>
    <cdr:sp macro="" textlink="">
      <cdr:nvSpPr>
        <cdr:cNvPr id="1072" name="Freeform 48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2861608" y="1278493"/>
          <a:ext cx="5000" cy="600551"/>
        </a:xfrm>
        <a:custGeom xmlns:a="http://schemas.openxmlformats.org/drawingml/2006/main">
          <a:avLst/>
          <a:gdLst>
            <a:gd name="T0" fmla="*/ 0 w 1"/>
            <a:gd name="T1" fmla="*/ 0 h 600075"/>
            <a:gd name="T2" fmla="*/ 0 w 1"/>
            <a:gd name="T3" fmla="*/ 600075 h 600075"/>
          </a:gdLst>
          <a:ahLst/>
          <a:cxnLst>
            <a:cxn ang="0">
              <a:pos x="T0" y="T1"/>
            </a:cxn>
            <a:cxn ang="0">
              <a:pos x="T2" y="T3"/>
            </a:cxn>
          </a:cxnLst>
          <a:rect l="0" t="0" r="r" b="b"/>
          <a:pathLst>
            <a:path w="1" h="600075">
              <a:moveTo>
                <a:pt x="0" y="0"/>
              </a:moveTo>
              <a:lnTo>
                <a:pt x="0" y="600075"/>
              </a:lnTo>
            </a:path>
          </a:pathLst>
        </a:custGeom>
        <a:noFill xmlns:a="http://schemas.openxmlformats.org/drawingml/2006/main"/>
        <a:ln xmlns:a="http://schemas.openxmlformats.org/drawingml/2006/main" w="9525" cap="flat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prstDash val="solid"/>
          <a:round/>
          <a:headEnd type="stealth" w="med" len="med"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0.18725</cdr:x>
      <cdr:y>0.1785</cdr:y>
    </cdr:from>
    <cdr:to>
      <cdr:x>0.5185</cdr:x>
      <cdr:y>0.1795</cdr:y>
    </cdr:to>
    <cdr:sp macro="" textlink="">
      <cdr:nvSpPr>
        <cdr:cNvPr id="1073" name="Line 49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 flipV="1">
          <a:off x="936367" y="552569"/>
          <a:ext cx="1656457" cy="309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0.2045</cdr:x>
      <cdr:y>0.1785</cdr:y>
    </cdr:from>
    <cdr:to>
      <cdr:x>0.2045</cdr:x>
      <cdr:y>0.649</cdr:y>
    </cdr:to>
    <cdr:sp macro="" textlink="">
      <cdr:nvSpPr>
        <cdr:cNvPr id="1074" name="Line 50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022628" y="552569"/>
          <a:ext cx="0" cy="145649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 type="stealth" w="med" len="med"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0.49925</cdr:x>
      <cdr:y>0.1115</cdr:y>
    </cdr:from>
    <cdr:to>
      <cdr:x>0.56975</cdr:x>
      <cdr:y>0.173</cdr:y>
    </cdr:to>
    <cdr:sp macro="" textlink="">
      <cdr:nvSpPr>
        <cdr:cNvPr id="1075" name="Text Box 5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96562" y="345162"/>
          <a:ext cx="352544" cy="1903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A…B</a:t>
          </a:r>
        </a:p>
      </cdr:txBody>
    </cdr:sp>
  </cdr:relSizeAnchor>
  <cdr:relSizeAnchor xmlns:cdr="http://schemas.openxmlformats.org/drawingml/2006/chartDrawing">
    <cdr:from>
      <cdr:x>0.0915</cdr:x>
      <cdr:y>0.5845</cdr:y>
    </cdr:from>
    <cdr:to>
      <cdr:x>0.18475</cdr:x>
      <cdr:y>0.646</cdr:y>
    </cdr:to>
    <cdr:sp macro="" textlink="">
      <cdr:nvSpPr>
        <cdr:cNvPr id="1076" name="Text Box 5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57557" y="1809393"/>
          <a:ext cx="466308" cy="1903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A, B, K</a:t>
          </a:r>
        </a:p>
      </cdr:txBody>
    </cdr:sp>
  </cdr:relSizeAnchor>
  <cdr:relSizeAnchor xmlns:cdr="http://schemas.openxmlformats.org/drawingml/2006/chartDrawing">
    <cdr:from>
      <cdr:x>0.2155</cdr:x>
      <cdr:y>0.3325</cdr:y>
    </cdr:from>
    <cdr:to>
      <cdr:x>0.2745</cdr:x>
      <cdr:y>0.40625</cdr:y>
    </cdr:to>
    <cdr:sp macro="" textlink="">
      <cdr:nvSpPr>
        <cdr:cNvPr id="1077" name="Text Box 5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77635" y="1029295"/>
          <a:ext cx="295037" cy="2283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E</a:t>
          </a:r>
          <a:r>
            <a:rPr lang="ru-RU" sz="1000" b="0" i="0" u="none" strike="noStrike" baseline="-25000">
              <a:solidFill>
                <a:srgbClr val="000000"/>
              </a:solidFill>
              <a:latin typeface="Arial"/>
              <a:cs typeface="Arial"/>
            </a:rPr>
            <a:t>a, I</a:t>
          </a:r>
        </a:p>
      </cdr:txBody>
    </cdr:sp>
  </cdr:relSizeAnchor>
  <cdr:relSizeAnchor xmlns:cdr="http://schemas.openxmlformats.org/drawingml/2006/chartDrawing">
    <cdr:from>
      <cdr:x>0.368</cdr:x>
      <cdr:y>0.28325</cdr:y>
    </cdr:from>
    <cdr:to>
      <cdr:x>0.389</cdr:x>
      <cdr:y>0.34475</cdr:y>
    </cdr:to>
    <cdr:sp macro="" textlink="">
      <cdr:nvSpPr>
        <cdr:cNvPr id="1078" name="Text Box 5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40230" y="876836"/>
          <a:ext cx="105013" cy="1903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I</a:t>
          </a:r>
        </a:p>
      </cdr:txBody>
    </cdr:sp>
  </cdr:relSizeAnchor>
  <cdr:relSizeAnchor xmlns:cdr="http://schemas.openxmlformats.org/drawingml/2006/chartDrawing">
    <cdr:from>
      <cdr:x>0.55775</cdr:x>
      <cdr:y>0.715</cdr:y>
    </cdr:from>
    <cdr:to>
      <cdr:x>0.58625</cdr:x>
      <cdr:y>0.7765</cdr:y>
    </cdr:to>
    <cdr:sp macro="" textlink="">
      <cdr:nvSpPr>
        <cdr:cNvPr id="1079" name="Text Box 5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89099" y="2213372"/>
          <a:ext cx="142517" cy="1903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II</a:t>
          </a:r>
        </a:p>
      </cdr:txBody>
    </cdr:sp>
  </cdr:relSizeAnchor>
  <cdr:relSizeAnchor xmlns:cdr="http://schemas.openxmlformats.org/drawingml/2006/chartDrawing">
    <cdr:from>
      <cdr:x>0.30675</cdr:x>
      <cdr:y>0.674</cdr:y>
    </cdr:from>
    <cdr:to>
      <cdr:x>0.37725</cdr:x>
      <cdr:y>0.74775</cdr:y>
    </cdr:to>
    <cdr:sp macro="" textlink="">
      <cdr:nvSpPr>
        <cdr:cNvPr id="1080" name="Text Box 5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33942" y="2086451"/>
          <a:ext cx="352544" cy="2283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E</a:t>
          </a:r>
          <a:r>
            <a:rPr lang="ru-RU" sz="1000" b="0" i="0" u="none" strike="noStrike" baseline="-25000">
              <a:solidFill>
                <a:srgbClr val="000000"/>
              </a:solidFill>
              <a:latin typeface="Arial"/>
              <a:cs typeface="Arial"/>
            </a:rPr>
            <a:t>a, AK</a:t>
          </a:r>
        </a:p>
      </cdr:txBody>
    </cdr:sp>
  </cdr:relSizeAnchor>
  <cdr:relSizeAnchor xmlns:cdr="http://schemas.openxmlformats.org/drawingml/2006/chartDrawing">
    <cdr:from>
      <cdr:x>0.35325</cdr:x>
      <cdr:y>0.43475</cdr:y>
    </cdr:from>
    <cdr:to>
      <cdr:x>0.399</cdr:x>
      <cdr:y>0.49625</cdr:y>
    </cdr:to>
    <cdr:sp macro="" textlink="">
      <cdr:nvSpPr>
        <cdr:cNvPr id="1081" name="Text Box 5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66471" y="1345823"/>
          <a:ext cx="228778" cy="1903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AK</a:t>
          </a:r>
        </a:p>
      </cdr:txBody>
    </cdr:sp>
  </cdr:relSizeAnchor>
  <cdr:relSizeAnchor xmlns:cdr="http://schemas.openxmlformats.org/drawingml/2006/chartDrawing">
    <cdr:from>
      <cdr:x>0.54575</cdr:x>
      <cdr:y>0.345</cdr:y>
    </cdr:from>
    <cdr:to>
      <cdr:x>0.6085</cdr:x>
      <cdr:y>0.4065</cdr:y>
    </cdr:to>
    <cdr:sp macro="" textlink="">
      <cdr:nvSpPr>
        <cdr:cNvPr id="1082" name="Text Box 5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29091" y="1067991"/>
          <a:ext cx="313789" cy="1903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BAK</a:t>
          </a:r>
        </a:p>
      </cdr:txBody>
    </cdr:sp>
  </cdr:relSizeAnchor>
  <cdr:relSizeAnchor xmlns:cdr="http://schemas.openxmlformats.org/drawingml/2006/chartDrawing">
    <cdr:from>
      <cdr:x>0.53675</cdr:x>
      <cdr:y>0.62975</cdr:y>
    </cdr:from>
    <cdr:to>
      <cdr:x>0.61875</cdr:x>
      <cdr:y>0.7035</cdr:y>
    </cdr:to>
    <cdr:sp macro="" textlink="">
      <cdr:nvSpPr>
        <cdr:cNvPr id="1083" name="Text Box 5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84085" y="1949470"/>
          <a:ext cx="410052" cy="2283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E</a:t>
          </a:r>
          <a:r>
            <a:rPr lang="ru-RU" sz="1000" b="0" i="0" u="none" strike="noStrike" baseline="-25000">
              <a:solidFill>
                <a:srgbClr val="000000"/>
              </a:solidFill>
              <a:latin typeface="Arial"/>
              <a:cs typeface="Arial"/>
            </a:rPr>
            <a:t>a, BAK</a:t>
          </a:r>
        </a:p>
      </cdr:txBody>
    </cdr:sp>
  </cdr:relSizeAnchor>
  <cdr:relSizeAnchor xmlns:cdr="http://schemas.openxmlformats.org/drawingml/2006/chartDrawing">
    <cdr:from>
      <cdr:x>0.66075</cdr:x>
      <cdr:y>0.531</cdr:y>
    </cdr:from>
    <cdr:to>
      <cdr:x>0.75025</cdr:x>
      <cdr:y>0.5925</cdr:y>
    </cdr:to>
    <cdr:sp macro="" textlink="">
      <cdr:nvSpPr>
        <cdr:cNvPr id="1084" name="Text Box 6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04163" y="1643777"/>
          <a:ext cx="447556" cy="1903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K(AB*)</a:t>
          </a:r>
        </a:p>
      </cdr:txBody>
    </cdr:sp>
  </cdr:relSizeAnchor>
  <cdr:relSizeAnchor xmlns:cdr="http://schemas.openxmlformats.org/drawingml/2006/chartDrawing">
    <cdr:from>
      <cdr:x>0.98075</cdr:x>
      <cdr:y>0.87075</cdr:y>
    </cdr:from>
    <cdr:to>
      <cdr:x>0.98575</cdr:x>
      <cdr:y>0.871</cdr:y>
    </cdr:to>
    <cdr:sp macro="" textlink="">
      <cdr:nvSpPr>
        <cdr:cNvPr id="1085" name="Line 61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4904363" y="2695515"/>
          <a:ext cx="25003" cy="77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0.0655</cdr:x>
      <cdr:y>0.019</cdr:y>
    </cdr:from>
    <cdr:to>
      <cdr:x>0.06575</cdr:x>
      <cdr:y>0.0355</cdr:y>
    </cdr:to>
    <cdr:sp macro="" textlink="">
      <cdr:nvSpPr>
        <cdr:cNvPr id="1086" name="Line 62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327541" y="58817"/>
          <a:ext cx="1250" cy="5107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stealth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</c:userShape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5C1AB2FA0C4C658F98B52E2F6AE3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4D7CCB-5C5B-4770-86EB-C81B8627CBC0}"/>
      </w:docPartPr>
      <w:docPartBody>
        <w:p w:rsidR="00A251CC" w:rsidRDefault="00C005FE" w:rsidP="00C005FE">
          <w:pPr>
            <w:pStyle w:val="515C1AB2FA0C4C658F98B52E2F6AE3F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FE"/>
    <w:rsid w:val="006325A8"/>
    <w:rsid w:val="00A251CC"/>
    <w:rsid w:val="00B27CE9"/>
    <w:rsid w:val="00C0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5C1AB2FA0C4C658F98B52E2F6AE3F2">
    <w:name w:val="515C1AB2FA0C4C658F98B52E2F6AE3F2"/>
    <w:rsid w:val="00C005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5C1AB2FA0C4C658F98B52E2F6AE3F2">
    <w:name w:val="515C1AB2FA0C4C658F98B52E2F6AE3F2"/>
    <w:rsid w:val="00C005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19</Pages>
  <Words>4751</Words>
  <Characters>27083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Механізми органічних реакцій</vt:lpstr>
    </vt:vector>
  </TitlesOfParts>
  <Company/>
  <LinksUpToDate>false</LinksUpToDate>
  <CharactersWithSpaces>31771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Механізми органічних реакцій</dc:title>
  <dc:creator>Marina</dc:creator>
  <cp:lastModifiedBy>Marina</cp:lastModifiedBy>
  <cp:revision>4</cp:revision>
  <dcterms:created xsi:type="dcterms:W3CDTF">2021-04-13T17:29:00Z</dcterms:created>
  <dcterms:modified xsi:type="dcterms:W3CDTF">2021-04-13T18:23:00Z</dcterms:modified>
</cp:coreProperties>
</file>