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44" w:rsidRPr="00BF2444" w:rsidRDefault="00BF2444" w:rsidP="00BF2444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Лабораторна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робота № 4</w:t>
      </w:r>
      <w:r w:rsidRPr="00BF2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F2444" w:rsidRPr="00BF2444" w:rsidRDefault="00BF2444" w:rsidP="00BF2444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BF2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Визначення</w:t>
      </w:r>
      <w:proofErr w:type="spellEnd"/>
      <w:r w:rsidRPr="00BF2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фізичних</w:t>
      </w:r>
      <w:proofErr w:type="spellEnd"/>
      <w:r w:rsidRPr="00BF2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властивостей</w:t>
      </w:r>
      <w:proofErr w:type="spellEnd"/>
      <w:r w:rsidRPr="00BF2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0" w:name="_GoBack"/>
      <w:bookmarkEnd w:id="0"/>
    </w:p>
    <w:p w:rsid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</w:pP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ЛАБОРАТОРНА РОБОТА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Тема. Визначення вологості ґрунту.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Вологість ґрунту зумовлена наявністю гігроскопічної води, що вбирається ґрунтом і видаляється з нього за температури 100-105° С. Висушування за цієї температури може давати завищені дані, що зумовлено видаленням з ґрунту газів і частково води, яка входить до складу кристалогідратів.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Вологість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велике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родючості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у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розчинені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живлення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рослин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ґрунтова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волога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зумовлює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тургор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рослин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завдяки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процесам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фільтрації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випаровування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розчинення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відбувається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міграція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хімічних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елементів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2444" w:rsidRPr="00BF2444" w:rsidRDefault="00BF2444" w:rsidP="00BF244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1" w:name="_Toc216145486"/>
      <w:r w:rsidRPr="00BF244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>Хід роботи</w:t>
      </w:r>
      <w:bookmarkEnd w:id="1"/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бюксі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притертою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пробкою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зважують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аналітичних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терезах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точністю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0,0002 г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приблизно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1-2 г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повітряно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-сухого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вміщують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відкритий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бюкс у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сушильну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шафу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висушують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пробу при 100-105° С 5 год. Бюкс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виймають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шафи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закривають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кришкою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ставлять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ексикатор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20-30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охолодження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потім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зважують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Масову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частку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гігроскопічної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води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відносно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сухої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формулою: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)100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ω</w:t>
      </w:r>
      <w:proofErr w:type="gram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O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гігр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.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= -------------------, %,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</w:t>
      </w:r>
      <w:proofErr w:type="gramEnd"/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 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1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 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vertAlign w:val="subscript"/>
          <w:lang w:eastAsia="ru-RU"/>
        </w:rPr>
        <w:t>2 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маса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бюкса з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ґрунтом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і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висушування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г;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proofErr w:type="spellStart"/>
      <w:proofErr w:type="gram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маса</w:t>
      </w:r>
      <w:proofErr w:type="spellEnd"/>
      <w:proofErr w:type="gram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висушування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г.</w:t>
      </w:r>
    </w:p>
    <w:p w:rsidR="00BF2444" w:rsidRDefault="00BF2444" w:rsidP="00BF24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F2444" w:rsidRDefault="00BF2444" w:rsidP="00BF24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F2444" w:rsidRDefault="00BF2444" w:rsidP="00BF24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ЛАБОРАТОРНА РОБОТА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Тема. </w:t>
      </w:r>
      <w:proofErr w:type="spellStart"/>
      <w:r w:rsidRPr="00BF24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Визначення</w:t>
      </w:r>
      <w:proofErr w:type="spellEnd"/>
      <w:r w:rsidRPr="00BF24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удільної</w:t>
      </w:r>
      <w:proofErr w:type="spellEnd"/>
      <w:r w:rsidRPr="00BF24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ваги </w:t>
      </w:r>
      <w:proofErr w:type="spellStart"/>
      <w:r w:rsidRPr="00BF24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твердої</w:t>
      </w:r>
      <w:proofErr w:type="spellEnd"/>
      <w:r w:rsidRPr="00BF24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фази</w:t>
      </w:r>
      <w:proofErr w:type="spellEnd"/>
      <w:r w:rsidRPr="00BF24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Мета: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Ознайомитися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методикою та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визначити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удільну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вагу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2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Обладнання</w:t>
      </w:r>
      <w:proofErr w:type="spellEnd"/>
      <w:r w:rsidRPr="00BF2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пікнометр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100мл,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аналітичні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терези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електрична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плитка, термометр,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зразки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ґрунтів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дистильована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вода.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Удільною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вагою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твердої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фази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відношення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ваги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твердої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фази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певного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об'єму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ваги води того ж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об'єму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4°С.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Удільна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вага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залежить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вмісту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гумусу,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мінералогічного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складу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в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середньому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дорівнює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2,5 - 2,65 г/см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удільної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ваги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обчислення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схватності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механічного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аналізу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Удільну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вагу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твердої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фази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зразком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порушеною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структурою, т. б.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розтертою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порошок</w:t>
      </w:r>
      <w:proofErr w:type="gram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розмір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1мм),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пікнометричним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засобом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шляхом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об'єма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якої-небудь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навіски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витісненні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нею води.</w:t>
      </w:r>
    </w:p>
    <w:p w:rsidR="00BF2444" w:rsidRPr="00BF2444" w:rsidRDefault="00BF2444" w:rsidP="00BF244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2" w:name="_Toc216145487"/>
      <w:r w:rsidRPr="00BF244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uk-UA" w:eastAsia="ru-RU"/>
        </w:rPr>
        <w:t>Хід роботи.</w:t>
      </w:r>
      <w:bookmarkEnd w:id="2"/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На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технічних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терезах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беруть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10г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повітряно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-сухого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Одночасно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окремій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навісці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визначають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гігроскопічну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вологу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У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колбі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кип'ятять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близько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півгодини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200-250 мл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дистильованої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води для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вилучення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розчиненого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ній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повітря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охолоджують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кімнатної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Потім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пікнометр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100 мл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наповнюють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точно до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позначки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цією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водою і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важать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аналітичних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терезах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Пікнометр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треба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тільки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шийку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не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нагрівати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її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рукою,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незначне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коливання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відображається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точності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удільної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ваги.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Записати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температуру, при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якій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проводилося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перше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пікнометром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ваги.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важення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пікнометра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відливають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приблизно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половину води і, вставивши в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шийку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лійку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обережно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пересипають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навіску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Змивають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частинки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пристали до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лійки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шийки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дистильованою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водою у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пікнометр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кип'ятять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вміст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електричній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плитці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не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допускаючи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розбризкування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Після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кип'ячення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пікнометр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охолоджують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початкової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температури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доливають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прокип'яченою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водою до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позначки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важать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удруге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Обчислення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удільної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ваги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проводять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формулою: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lastRenderedPageBreak/>
        <w:t>В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D = ----------------------, 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А+В-С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</w:t>
      </w:r>
      <w:proofErr w:type="spellStart"/>
      <w:proofErr w:type="gram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удільна</w:t>
      </w:r>
      <w:proofErr w:type="spellEnd"/>
      <w:proofErr w:type="gram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вага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г/см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-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навіска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сухого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ґрунту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г,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- вага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пікнометра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водою, г,</w:t>
      </w:r>
    </w:p>
    <w:p w:rsidR="00BF2444" w:rsidRPr="00BF2444" w:rsidRDefault="00BF2444" w:rsidP="00BF2444">
      <w:pPr>
        <w:shd w:val="clear" w:color="auto" w:fill="FFFFFF"/>
        <w:spacing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- вага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пікнометра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водою та </w:t>
      </w:r>
      <w:proofErr w:type="spellStart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ґрунтом</w:t>
      </w:r>
      <w:proofErr w:type="spellEnd"/>
      <w:r w:rsidRPr="00BF24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г.</w:t>
      </w:r>
    </w:p>
    <w:sectPr w:rsidR="00BF2444" w:rsidRPr="00BF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CB"/>
    <w:rsid w:val="00193AC9"/>
    <w:rsid w:val="009506CB"/>
    <w:rsid w:val="00B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16E6"/>
  <w15:chartTrackingRefBased/>
  <w15:docId w15:val="{EEAC47D5-64D9-43BE-9945-9812668A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2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24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BF2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0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Полякова</dc:creator>
  <cp:keywords/>
  <dc:description/>
  <cp:lastModifiedBy>Ирина Полякова</cp:lastModifiedBy>
  <cp:revision>2</cp:revision>
  <dcterms:created xsi:type="dcterms:W3CDTF">2021-04-27T10:51:00Z</dcterms:created>
  <dcterms:modified xsi:type="dcterms:W3CDTF">2021-04-27T10:54:00Z</dcterms:modified>
</cp:coreProperties>
</file>