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683" w:rsidRPr="00DC3A24" w:rsidRDefault="003D6FA8" w:rsidP="000B5D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sz w:val="24"/>
          <w:lang w:val="uk-UA"/>
        </w:rPr>
      </w:pPr>
      <w:r w:rsidRPr="00DC3A24">
        <w:rPr>
          <w:rFonts w:eastAsia="Times New Roman" w:cs="Times New Roman"/>
          <w:b/>
          <w:sz w:val="24"/>
          <w:lang w:val="uk-UA"/>
        </w:rPr>
        <w:t>1</w:t>
      </w:r>
      <w:r w:rsidR="004E3683" w:rsidRPr="00DC3A24">
        <w:rPr>
          <w:rFonts w:eastAsia="Times New Roman" w:cs="Times New Roman"/>
          <w:b/>
          <w:sz w:val="24"/>
          <w:lang w:val="uk-UA"/>
        </w:rPr>
        <w:t>. Скласти таблицю.</w:t>
      </w:r>
    </w:p>
    <w:p w:rsidR="003D6FA8" w:rsidRPr="00DC3A24" w:rsidRDefault="003D6FA8" w:rsidP="000B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/>
        </w:rPr>
      </w:pPr>
      <w:r w:rsidRPr="003D6FA8">
        <w:rPr>
          <w:rFonts w:eastAsia="Times New Roman" w:cs="Times New Roman"/>
          <w:sz w:val="24"/>
          <w:szCs w:val="24"/>
          <w:lang w:val="uk-UA"/>
        </w:rPr>
        <w:t>Історична (фактична) собівартість капітальних інвестицій, яка після введення об’єктів в експлуатацію трансформується у їх первісну вартість, згідно з П(С)БО 7 «Основні засоби»  та П(С)БО 8</w:t>
      </w:r>
      <w:r w:rsidR="004E3683" w:rsidRPr="00DC3A24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3D6FA8">
        <w:rPr>
          <w:rFonts w:eastAsia="Times New Roman" w:cs="Times New Roman"/>
          <w:sz w:val="24"/>
          <w:szCs w:val="24"/>
          <w:lang w:val="uk-UA"/>
        </w:rPr>
        <w:t>«Нематеріальні активи» формується з: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1024"/>
        <w:gridCol w:w="8329"/>
      </w:tblGrid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31800" cy="121285"/>
                  <wp:effectExtent l="19050" t="0" r="6350" b="0"/>
                  <wp:docPr id="4" name="Рисунок 4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5275" b="8635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1800" cy="12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18465" cy="134620"/>
                  <wp:effectExtent l="19050" t="0" r="635" b="0"/>
                  <wp:docPr id="10" name="Рисунок 10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559" t="84863" r="10093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46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42595" cy="139065"/>
                  <wp:effectExtent l="19050" t="0" r="0" b="0"/>
                  <wp:docPr id="11" name="Рисунок 11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84367" r="5412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259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18465" cy="130175"/>
                  <wp:effectExtent l="19050" t="0" r="635" b="0"/>
                  <wp:docPr id="12" name="Рисунок 12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559" t="55830" r="10093" b="2952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465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31800" cy="119380"/>
                  <wp:effectExtent l="19050" t="0" r="6350" b="0"/>
                  <wp:docPr id="13" name="Рисунок 13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4392" r="55275" b="72208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1800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EC18DF" w:rsidRPr="00DC3A24" w:rsidTr="00EC18DF">
        <w:tc>
          <w:tcPr>
            <w:tcW w:w="1024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18465" cy="125730"/>
                  <wp:effectExtent l="19050" t="0" r="635" b="0"/>
                  <wp:docPr id="14" name="Рисунок 14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559" t="41934" r="10093" b="4392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465" cy="12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EC18DF" w:rsidRPr="00DC3A24" w:rsidRDefault="00EC18DF" w:rsidP="003D6FA8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</w:tbl>
    <w:p w:rsidR="003D6FA8" w:rsidRPr="003D6FA8" w:rsidRDefault="003D6FA8" w:rsidP="003D6FA8">
      <w:pPr>
        <w:widowControl w:val="0"/>
        <w:autoSpaceDE w:val="0"/>
        <w:autoSpaceDN w:val="0"/>
        <w:spacing w:after="0" w:line="321" w:lineRule="exact"/>
        <w:ind w:left="218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89128E" w:rsidRPr="00DC3A24" w:rsidRDefault="004E3683" w:rsidP="000B5D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DC3A24">
        <w:rPr>
          <w:b/>
          <w:sz w:val="24"/>
          <w:szCs w:val="24"/>
          <w:lang w:val="uk-UA"/>
        </w:rPr>
        <w:t xml:space="preserve">2. </w:t>
      </w:r>
      <w:r w:rsidR="0089128E" w:rsidRPr="00DC3A24">
        <w:rPr>
          <w:rFonts w:eastAsia="Times New Roman" w:cs="Times New Roman"/>
          <w:b/>
          <w:sz w:val="24"/>
          <w:szCs w:val="24"/>
          <w:lang w:val="uk-UA"/>
        </w:rPr>
        <w:t xml:space="preserve">Скласти таблицю та зазначити </w:t>
      </w:r>
      <w:r w:rsidR="0089128E" w:rsidRPr="00DC3A24">
        <w:rPr>
          <w:b/>
          <w:sz w:val="24"/>
          <w:szCs w:val="24"/>
          <w:lang w:val="uk-UA"/>
        </w:rPr>
        <w:t>підходи щодо визначення справедливої вартості капітальних інвестицій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1024"/>
        <w:gridCol w:w="8329"/>
      </w:tblGrid>
      <w:tr w:rsidR="00C606AF" w:rsidRPr="00DC3A24" w:rsidTr="00EF207B">
        <w:tc>
          <w:tcPr>
            <w:tcW w:w="1024" w:type="dxa"/>
          </w:tcPr>
          <w:p w:rsidR="00C606AF" w:rsidRPr="00DC3A24" w:rsidRDefault="00C606AF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31800" cy="121285"/>
                  <wp:effectExtent l="19050" t="0" r="6350" b="0"/>
                  <wp:docPr id="15" name="Рисунок 4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5275" b="86352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1800" cy="12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C606AF" w:rsidRPr="00DC3A24" w:rsidRDefault="00C606AF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C606AF" w:rsidRPr="00DC3A24" w:rsidTr="00EF207B">
        <w:tc>
          <w:tcPr>
            <w:tcW w:w="1024" w:type="dxa"/>
          </w:tcPr>
          <w:p w:rsidR="00C606AF" w:rsidRPr="00DC3A24" w:rsidRDefault="00C606AF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18465" cy="134620"/>
                  <wp:effectExtent l="19050" t="0" r="635" b="0"/>
                  <wp:docPr id="16" name="Рисунок 10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559" t="84863" r="10093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46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C606AF" w:rsidRPr="00DC3A24" w:rsidRDefault="00C606AF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  <w:tr w:rsidR="0089128E" w:rsidRPr="00DC3A24" w:rsidTr="00EF207B">
        <w:tc>
          <w:tcPr>
            <w:tcW w:w="1024" w:type="dxa"/>
          </w:tcPr>
          <w:p w:rsidR="0089128E" w:rsidRPr="00DC3A24" w:rsidRDefault="0089128E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C3A24">
              <w:rPr>
                <w:rFonts w:eastAsia="Times New Roman" w:cs="Times New Roman"/>
                <w:noProof/>
                <w:szCs w:val="28"/>
                <w:lang w:val="uk-UA"/>
              </w:rPr>
              <w:drawing>
                <wp:inline distT="0" distB="0" distL="0" distR="0">
                  <wp:extent cx="418465" cy="130175"/>
                  <wp:effectExtent l="19050" t="0" r="635" b="0"/>
                  <wp:docPr id="21" name="Рисунок 21" descr="стекло геля кнопок большое иллюстрация штока. иллюстрации насчитывающей  интернет - 7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текло геля кнопок большое иллюстрация штока. иллюстрации насчитывающей  интернет - 7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6559" t="55830" r="10093" b="29529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18465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:rsidR="0089128E" w:rsidRPr="00DC3A24" w:rsidRDefault="0089128E" w:rsidP="00EF207B">
            <w:pPr>
              <w:widowControl w:val="0"/>
              <w:autoSpaceDE w:val="0"/>
              <w:autoSpaceDN w:val="0"/>
              <w:spacing w:line="321" w:lineRule="exact"/>
              <w:jc w:val="both"/>
              <w:rPr>
                <w:rFonts w:eastAsia="Times New Roman" w:cs="Times New Roman"/>
                <w:szCs w:val="28"/>
                <w:lang w:val="uk-UA"/>
              </w:rPr>
            </w:pPr>
          </w:p>
        </w:tc>
      </w:tr>
    </w:tbl>
    <w:p w:rsidR="001C2DA8" w:rsidRPr="00DC3A24" w:rsidRDefault="001C2DA8" w:rsidP="00412E5B">
      <w:pPr>
        <w:pStyle w:val="a6"/>
        <w:rPr>
          <w:sz w:val="20"/>
        </w:rPr>
      </w:pPr>
    </w:p>
    <w:p w:rsidR="00412E5B" w:rsidRPr="00DC3A24" w:rsidRDefault="005B266C" w:rsidP="00C82E9A">
      <w:pPr>
        <w:pStyle w:val="a6"/>
        <w:ind w:firstLine="708"/>
        <w:rPr>
          <w:b/>
          <w:sz w:val="24"/>
          <w:szCs w:val="24"/>
        </w:rPr>
      </w:pPr>
      <w:r w:rsidRPr="00DC3A24">
        <w:rPr>
          <w:b/>
          <w:sz w:val="24"/>
          <w:szCs w:val="24"/>
        </w:rPr>
        <w:t>3. Доповнити блок-схему</w:t>
      </w:r>
      <w:r w:rsidR="00F81F70" w:rsidRPr="00DC3A24">
        <w:rPr>
          <w:b/>
          <w:sz w:val="24"/>
          <w:szCs w:val="24"/>
        </w:rPr>
        <w:t xml:space="preserve"> щодо оцінки фінансових інвестицій</w:t>
      </w:r>
      <w:r w:rsidRPr="00DC3A24">
        <w:rPr>
          <w:b/>
          <w:sz w:val="24"/>
          <w:szCs w:val="24"/>
        </w:rPr>
        <w:t xml:space="preserve"> наступними елементами:</w:t>
      </w:r>
    </w:p>
    <w:p w:rsidR="005B266C" w:rsidRPr="00DC3A24" w:rsidRDefault="005B266C" w:rsidP="000B5DB4">
      <w:pPr>
        <w:pStyle w:val="TableParagraph"/>
        <w:ind w:left="0" w:firstLine="709"/>
        <w:jc w:val="both"/>
        <w:rPr>
          <w:sz w:val="24"/>
          <w:szCs w:val="24"/>
        </w:rPr>
      </w:pPr>
      <w:r w:rsidRPr="00DC3A24">
        <w:rPr>
          <w:sz w:val="24"/>
          <w:szCs w:val="24"/>
        </w:rPr>
        <w:t xml:space="preserve">1. </w:t>
      </w:r>
      <w:r w:rsidR="00166852" w:rsidRPr="00DC3A24">
        <w:rPr>
          <w:sz w:val="24"/>
          <w:szCs w:val="24"/>
        </w:rPr>
        <w:t>С</w:t>
      </w:r>
      <w:r w:rsidRPr="00DC3A24">
        <w:rPr>
          <w:sz w:val="24"/>
          <w:szCs w:val="24"/>
        </w:rPr>
        <w:t>праведлива вартість переданих цінних паперів</w:t>
      </w:r>
      <w:r w:rsidR="00166852" w:rsidRPr="00DC3A24">
        <w:rPr>
          <w:sz w:val="24"/>
          <w:szCs w:val="24"/>
        </w:rPr>
        <w:t>.</w:t>
      </w:r>
    </w:p>
    <w:p w:rsidR="005B266C" w:rsidRPr="00DC3A24" w:rsidRDefault="005B266C" w:rsidP="000B5DB4">
      <w:pPr>
        <w:pStyle w:val="TableParagraph"/>
        <w:ind w:left="0" w:firstLine="709"/>
        <w:jc w:val="both"/>
        <w:rPr>
          <w:sz w:val="24"/>
          <w:szCs w:val="24"/>
        </w:rPr>
      </w:pPr>
      <w:r w:rsidRPr="00DC3A24">
        <w:rPr>
          <w:sz w:val="24"/>
          <w:szCs w:val="24"/>
        </w:rPr>
        <w:t xml:space="preserve">2. </w:t>
      </w:r>
      <w:r w:rsidR="00166852" w:rsidRPr="00DC3A24">
        <w:rPr>
          <w:sz w:val="24"/>
          <w:szCs w:val="24"/>
        </w:rPr>
        <w:t>Ц</w:t>
      </w:r>
      <w:r w:rsidRPr="00DC3A24">
        <w:rPr>
          <w:sz w:val="24"/>
          <w:szCs w:val="24"/>
        </w:rPr>
        <w:t>іна придбання, комісійні винагороди, мито, податки, збори, обов'язкові платежі та інші витрати, безпосередньо пов'язаних з придбанням фінансової інвестиції</w:t>
      </w:r>
      <w:r w:rsidR="00166852" w:rsidRPr="00DC3A24">
        <w:rPr>
          <w:sz w:val="24"/>
          <w:szCs w:val="24"/>
        </w:rPr>
        <w:t>.</w:t>
      </w:r>
    </w:p>
    <w:p w:rsidR="005B266C" w:rsidRPr="00DC3A24" w:rsidRDefault="005B266C" w:rsidP="000B5DB4">
      <w:pPr>
        <w:pStyle w:val="TableParagraph"/>
        <w:ind w:left="0" w:firstLine="709"/>
        <w:jc w:val="both"/>
        <w:rPr>
          <w:sz w:val="24"/>
          <w:szCs w:val="24"/>
        </w:rPr>
      </w:pPr>
      <w:r w:rsidRPr="00DC3A24">
        <w:rPr>
          <w:sz w:val="24"/>
          <w:szCs w:val="24"/>
        </w:rPr>
        <w:t>3. Справедлива вартість активу, який обмінюється на інвестицію</w:t>
      </w:r>
      <w:r w:rsidR="00166852" w:rsidRPr="00DC3A24">
        <w:rPr>
          <w:sz w:val="24"/>
          <w:szCs w:val="24"/>
        </w:rPr>
        <w:t>.</w:t>
      </w:r>
    </w:p>
    <w:p w:rsidR="005B266C" w:rsidRPr="00DC3A24" w:rsidRDefault="005B266C" w:rsidP="005B266C">
      <w:pPr>
        <w:pStyle w:val="TableParagraph"/>
        <w:spacing w:before="65" w:line="237" w:lineRule="exact"/>
        <w:ind w:left="251" w:right="238"/>
        <w:jc w:val="center"/>
      </w:pPr>
    </w:p>
    <w:tbl>
      <w:tblPr>
        <w:tblStyle w:val="TableNormal"/>
        <w:tblW w:w="1023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4367"/>
        <w:gridCol w:w="2654"/>
      </w:tblGrid>
      <w:tr w:rsidR="00412E5B" w:rsidRPr="00DC3A24" w:rsidTr="00166852">
        <w:trPr>
          <w:trHeight w:val="283"/>
          <w:jc w:val="center"/>
        </w:trPr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E5B" w:rsidRPr="00DC3A24" w:rsidRDefault="00412E5B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C3A24">
              <w:rPr>
                <w:rFonts w:ascii="Times New Roman" w:hAnsi="Times New Roman"/>
                <w:sz w:val="24"/>
              </w:rPr>
              <w:t>Первісна оцінка</w:t>
            </w:r>
          </w:p>
        </w:tc>
      </w:tr>
      <w:tr w:rsidR="00412E5B" w:rsidRPr="00DC3A24" w:rsidTr="00166852">
        <w:trPr>
          <w:trHeight w:val="283"/>
          <w:jc w:val="center"/>
        </w:trPr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E5B" w:rsidRPr="00DC3A24" w:rsidRDefault="00412E5B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C3A24">
              <w:rPr>
                <w:rFonts w:ascii="Times New Roman" w:hAnsi="Times New Roman"/>
                <w:sz w:val="24"/>
              </w:rPr>
              <w:t>За собівартістю придбання</w:t>
            </w:r>
          </w:p>
        </w:tc>
      </w:tr>
      <w:tr w:rsidR="00412E5B" w:rsidRPr="00DC3A24" w:rsidTr="00166852">
        <w:trPr>
          <w:trHeight w:val="283"/>
          <w:jc w:val="center"/>
        </w:trPr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E5B" w:rsidRPr="00DC3A24" w:rsidRDefault="00412E5B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C3A24">
              <w:rPr>
                <w:rFonts w:ascii="Times New Roman" w:hAnsi="Times New Roman"/>
                <w:sz w:val="24"/>
              </w:rPr>
              <w:t>Купівля за грошові кошти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E5B" w:rsidRPr="00DC3A24" w:rsidRDefault="00412E5B" w:rsidP="00166852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C3A24">
              <w:rPr>
                <w:rFonts w:ascii="Times New Roman" w:hAnsi="Times New Roman"/>
                <w:sz w:val="24"/>
              </w:rPr>
              <w:t>В обмін на цінні папери власної емісії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E5B" w:rsidRPr="00DC3A24" w:rsidRDefault="00412E5B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DC3A24">
              <w:rPr>
                <w:rFonts w:ascii="Times New Roman" w:hAnsi="Times New Roman"/>
                <w:sz w:val="24"/>
              </w:rPr>
              <w:t>В обмін на інші активи</w:t>
            </w:r>
          </w:p>
        </w:tc>
      </w:tr>
      <w:tr w:rsidR="005B266C" w:rsidRPr="00DC3A24" w:rsidTr="00166852">
        <w:trPr>
          <w:trHeight w:val="283"/>
          <w:jc w:val="center"/>
        </w:trPr>
        <w:tc>
          <w:tcPr>
            <w:tcW w:w="32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266C" w:rsidRPr="00DC3A24" w:rsidRDefault="005B266C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266C" w:rsidRPr="00DC3A24" w:rsidRDefault="005B266C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266C" w:rsidRPr="00DC3A24" w:rsidRDefault="005B266C" w:rsidP="005B266C">
            <w:pPr>
              <w:pStyle w:val="TableParagraph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C2DA8" w:rsidRPr="00DC3A24" w:rsidRDefault="001C2DA8" w:rsidP="001C2DA8">
      <w:pPr>
        <w:pStyle w:val="a6"/>
        <w:rPr>
          <w:sz w:val="20"/>
        </w:rPr>
      </w:pPr>
    </w:p>
    <w:p w:rsidR="001C2DA8" w:rsidRPr="00DC3A24" w:rsidRDefault="001C2DA8" w:rsidP="00C82E9A">
      <w:pPr>
        <w:pStyle w:val="a6"/>
        <w:ind w:firstLine="708"/>
        <w:rPr>
          <w:b/>
          <w:sz w:val="24"/>
          <w:szCs w:val="24"/>
        </w:rPr>
      </w:pPr>
      <w:r w:rsidRPr="00DC3A24">
        <w:rPr>
          <w:b/>
          <w:sz w:val="24"/>
          <w:szCs w:val="24"/>
        </w:rPr>
        <w:t>4. Доповнити блок-схему щодо оцінки фінансових інвестицій наступними елементами: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5345"/>
      </w:tblGrid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3" name="Рисунок 23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Інвестиції, не призначені для продажу</w:t>
            </w:r>
          </w:p>
        </w:tc>
      </w:tr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4" name="Рисунок 24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Інвестиції, призначені для продажу</w:t>
            </w:r>
          </w:p>
        </w:tc>
      </w:tr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5" name="Рисунок 25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за амортизованою собівартістю</w:t>
            </w:r>
          </w:p>
        </w:tc>
      </w:tr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6" name="Рисунок 26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за методом участі у капіталі</w:t>
            </w:r>
          </w:p>
        </w:tc>
      </w:tr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7" name="Рисунок 27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за собівартістю з урахуванням зменшення корисності</w:t>
            </w:r>
          </w:p>
        </w:tc>
      </w:tr>
      <w:tr w:rsidR="00C82E9A" w:rsidRPr="00DC3A24" w:rsidTr="00C82E9A">
        <w:trPr>
          <w:jc w:val="center"/>
        </w:trPr>
        <w:tc>
          <w:tcPr>
            <w:tcW w:w="534" w:type="dxa"/>
          </w:tcPr>
          <w:p w:rsidR="00C82E9A" w:rsidRPr="00DC3A24" w:rsidRDefault="00A37904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noProof/>
                <w:sz w:val="24"/>
                <w:szCs w:val="24"/>
              </w:rPr>
              <w:drawing>
                <wp:inline distT="0" distB="0" distL="0" distR="0">
                  <wp:extent cx="306234" cy="245806"/>
                  <wp:effectExtent l="19050" t="0" r="0" b="0"/>
                  <wp:docPr id="28" name="Рисунок 28" descr="Галочка: стоковые видео, футажи | Скачать видео в HD/4K c Depositphot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алочка: стоковые видео, футажи | Скачать видео в HD/4K c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303" t="8577" r="7127" b="-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4" cy="245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:rsidR="00C82E9A" w:rsidRPr="00DC3A24" w:rsidRDefault="00C82E9A" w:rsidP="00233E87">
            <w:pPr>
              <w:pStyle w:val="a6"/>
              <w:rPr>
                <w:sz w:val="24"/>
                <w:szCs w:val="24"/>
              </w:rPr>
            </w:pPr>
            <w:r w:rsidRPr="00DC3A24">
              <w:rPr>
                <w:sz w:val="24"/>
                <w:szCs w:val="24"/>
              </w:rPr>
              <w:t>за справедливою вартістю</w:t>
            </w:r>
          </w:p>
        </w:tc>
      </w:tr>
    </w:tbl>
    <w:p w:rsidR="00412E5B" w:rsidRPr="00DC3A24" w:rsidRDefault="00412E5B" w:rsidP="00412E5B">
      <w:pPr>
        <w:pStyle w:val="a6"/>
        <w:spacing w:before="10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58"/>
        <w:gridCol w:w="663"/>
        <w:gridCol w:w="4052"/>
        <w:gridCol w:w="892"/>
        <w:gridCol w:w="1410"/>
      </w:tblGrid>
      <w:tr w:rsidR="00412E5B" w:rsidRPr="00DC3A24" w:rsidTr="006D0282">
        <w:trPr>
          <w:trHeight w:val="227"/>
          <w:jc w:val="center"/>
        </w:trPr>
        <w:tc>
          <w:tcPr>
            <w:tcW w:w="8575" w:type="dxa"/>
            <w:gridSpan w:val="5"/>
            <w:hideMark/>
          </w:tcPr>
          <w:p w:rsidR="00412E5B" w:rsidRPr="00DC3A24" w:rsidRDefault="000B5DB4" w:rsidP="00C82E9A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4"/>
                <w:szCs w:val="24"/>
                <w:lang w:eastAsia="ru-RU"/>
              </w:rPr>
              <w:pict>
                <v:shape id="_x0000_s1035" style="position:absolute;left:0;text-align:left;margin-left:316.9pt;margin-top:15.95pt;width:34.1pt;height:46.75pt;z-index:-251650048" coordorigin="8326,-2100" coordsize="701,1661" path="m9026,-1279r-618,-734l8425,-2028r23,-19l8326,-2100r31,130l8397,-2004r601,715l8445,-1468r2,-6l8460,-1517r-132,22l8424,-1402r16,-51l9003,-1272r-576,329l8400,-989r-74,111l8460,-886r-21,-36l8434,-931r553,-315l8396,-536r-39,-33l8326,-439r122,-53l8425,-511r-17,-15l9026,-1270r-6,-4l9026,-1279xe" fillcolor="black" stroked="f">
                  <v:path arrowok="t"/>
                </v:shape>
              </w:pict>
            </w:r>
            <w:r w:rsidR="00412E5B" w:rsidRPr="00DC3A24">
              <w:rPr>
                <w:sz w:val="28"/>
              </w:rPr>
              <w:t>На дату складання балансу</w:t>
            </w:r>
          </w:p>
        </w:tc>
      </w:tr>
      <w:tr w:rsidR="00412E5B" w:rsidRPr="00DC3A24" w:rsidTr="006D0282">
        <w:trPr>
          <w:trHeight w:val="227"/>
          <w:jc w:val="center"/>
        </w:trPr>
        <w:tc>
          <w:tcPr>
            <w:tcW w:w="1558" w:type="dxa"/>
            <w:vMerge w:val="restart"/>
            <w:hideMark/>
          </w:tcPr>
          <w:p w:rsidR="00412E5B" w:rsidRPr="00DC3A24" w:rsidRDefault="00412E5B" w:rsidP="00C82E9A">
            <w:pPr>
              <w:pStyle w:val="TableParagraph"/>
              <w:ind w:left="0"/>
              <w:jc w:val="center"/>
              <w:rPr>
                <w:i/>
                <w:sz w:val="28"/>
              </w:rPr>
            </w:pPr>
          </w:p>
        </w:tc>
        <w:tc>
          <w:tcPr>
            <w:tcW w:w="663" w:type="dxa"/>
            <w:vMerge w:val="restart"/>
          </w:tcPr>
          <w:p w:rsidR="00412E5B" w:rsidRPr="00DC3A24" w:rsidRDefault="000B5DB4" w:rsidP="00C82E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33.4pt;height:28.3pt;mso-position-horizontal-relative:char;mso-position-vertical-relative:line" coordsize="668,843">
                  <v:shape id="_x0000_s1027" style="position:absolute;width:668;height:843" coordsize="668,843" path="m667,l547,55r41,34l,830r4,4l7,842,557,650r17,51l644,629r23,-24l535,586r17,50l29,819,599,98r42,34l652,74,667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052" w:type="dxa"/>
            <w:hideMark/>
          </w:tcPr>
          <w:p w:rsidR="00412E5B" w:rsidRPr="00DC3A24" w:rsidRDefault="00412E5B" w:rsidP="00C82E9A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892" w:type="dxa"/>
            <w:vMerge w:val="restart"/>
          </w:tcPr>
          <w:p w:rsidR="00412E5B" w:rsidRPr="00DC3A24" w:rsidRDefault="000B5DB4" w:rsidP="00C82E9A">
            <w:pPr>
              <w:pStyle w:val="TableParagraph"/>
              <w:ind w:left="0"/>
              <w:rPr>
                <w:sz w:val="26"/>
              </w:rPr>
            </w:pPr>
            <w:r>
              <w:rPr>
                <w:sz w:val="24"/>
                <w:szCs w:val="24"/>
              </w:rPr>
              <w:pict>
                <v:group id="_x0000_s1042" style="position:absolute;margin-left:215.3pt;margin-top:37.7pt;width:231.05pt;height:94.8pt;z-index:-251652096;mso-position-horizontal-relative:page;mso-position-vertical-relative:text" coordorigin="4279,-2100" coordsize="4748,1896">
                  <v:rect id="_x0000_s1043" style="position:absolute;left:4279;top:-672;width:4047;height:468" stroked="f"/>
                  <v:shape id="_x0000_s1044" style="position:absolute;left:8325;top:-2100;width:701;height:1661" coordorigin="8326,-2100" coordsize="701,1661" path="m9026,-1279r-618,-734l8425,-2028r23,-19l8326,-2100r31,130l8397,-2004r601,715l8445,-1468r2,-6l8460,-1517r-132,22l8424,-1402r16,-51l9003,-1272r-576,329l8400,-989r-74,111l8460,-886r-21,-36l8434,-931r553,-315l8396,-536r-39,-33l8326,-439r122,-53l8425,-511r-17,-15l9026,-1270r-6,-4l9026,-1279xe" fillcolor="black" stroked="f">
                    <v:path arrowok="t"/>
                  </v:shape>
                  <w10:wrap anchorx="page"/>
                </v:group>
              </w:pict>
            </w:r>
            <w:r>
              <w:rPr>
                <w:sz w:val="24"/>
                <w:szCs w:val="24"/>
              </w:rPr>
              <w:pict>
                <v:group id="_x0000_s1036" style="position:absolute;margin-left:215.3pt;margin-top:37.7pt;width:231.05pt;height:94.8pt;z-index:-251656192;mso-position-horizontal-relative:page;mso-position-vertical-relative:text" coordorigin="4279,-2100" coordsize="4748,1896">
                  <v:rect id="_x0000_s1037" style="position:absolute;left:4279;top:-672;width:4047;height:468" stroked="f"/>
                  <v:shape id="_x0000_s1038" style="position:absolute;left:8325;top:-2100;width:701;height:1661" coordorigin="8326,-2100" coordsize="701,1661" path="m9026,-1279r-618,-734l8425,-2028r23,-19l8326,-2100r31,130l8397,-2004r601,715l8445,-1468r2,-6l8460,-1517r-132,22l8424,-1402r16,-51l9003,-1272r-576,329l8400,-989r-74,111l8460,-886r-21,-36l8434,-931r553,-315l8396,-536r-39,-33l8326,-439r122,-53l8425,-511r-17,-15l9026,-1270r-6,-4l9026,-1279xe" fillcolor="black" stroked="f">
                    <v:path arrowok="t"/>
                  </v:shape>
                  <w10:wrap anchorx="page"/>
                </v:group>
              </w:pict>
            </w:r>
            <w:r>
              <w:rPr>
                <w:sz w:val="24"/>
                <w:szCs w:val="24"/>
              </w:rPr>
              <w:pict>
                <v:group id="_x0000_s1039" style="position:absolute;margin-left:215.3pt;margin-top:37.7pt;width:231.05pt;height:94.8pt;z-index:-251654144;mso-position-horizontal-relative:page;mso-position-vertical-relative:text" coordorigin="4279,-2100" coordsize="4748,1896">
                  <v:rect id="_x0000_s1040" style="position:absolute;left:4279;top:-672;width:4047;height:468" stroked="f"/>
                  <v:shape id="_x0000_s1041" style="position:absolute;left:8325;top:-2100;width:701;height:1661" coordorigin="8326,-2100" coordsize="701,1661" path="m9026,-1279r-618,-734l8425,-2028r23,-19l8326,-2100r31,130l8397,-2004r601,715l8445,-1468r2,-6l8460,-1517r-132,22l8424,-1402r16,-51l9003,-1272r-576,329l8400,-989r-74,111l8460,-886r-21,-36l8434,-931r553,-315l8396,-536r-39,-33l8326,-439r122,-53l8425,-511r-17,-15l9026,-1270r-6,-4l9026,-1279xe" fillcolor="black" stroked="f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1410" w:type="dxa"/>
            <w:vMerge w:val="restart"/>
            <w:hideMark/>
          </w:tcPr>
          <w:p w:rsidR="00412E5B" w:rsidRPr="00DC3A24" w:rsidRDefault="00412E5B" w:rsidP="00C82E9A">
            <w:pPr>
              <w:pStyle w:val="TableParagraph"/>
              <w:ind w:left="0"/>
              <w:jc w:val="center"/>
              <w:rPr>
                <w:i/>
                <w:sz w:val="28"/>
              </w:rPr>
            </w:pPr>
          </w:p>
        </w:tc>
      </w:tr>
      <w:tr w:rsidR="00412E5B" w:rsidRPr="00DC3A24" w:rsidTr="006D0282">
        <w:trPr>
          <w:trHeight w:val="227"/>
          <w:jc w:val="center"/>
        </w:trPr>
        <w:tc>
          <w:tcPr>
            <w:tcW w:w="1558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  <w:tc>
          <w:tcPr>
            <w:tcW w:w="663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0"/>
                <w:lang w:val="uk-UA"/>
              </w:rPr>
            </w:pPr>
          </w:p>
        </w:tc>
        <w:tc>
          <w:tcPr>
            <w:tcW w:w="4052" w:type="dxa"/>
            <w:hideMark/>
          </w:tcPr>
          <w:p w:rsidR="00412E5B" w:rsidRPr="00DC3A24" w:rsidRDefault="00412E5B" w:rsidP="00C82E9A">
            <w:pPr>
              <w:pStyle w:val="TableParagraph"/>
              <w:ind w:left="0" w:hanging="468"/>
              <w:rPr>
                <w:sz w:val="28"/>
              </w:rPr>
            </w:pPr>
          </w:p>
        </w:tc>
        <w:tc>
          <w:tcPr>
            <w:tcW w:w="892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6"/>
                <w:lang w:val="uk-UA"/>
              </w:rPr>
            </w:pPr>
          </w:p>
        </w:tc>
        <w:tc>
          <w:tcPr>
            <w:tcW w:w="1410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</w:tr>
      <w:tr w:rsidR="00412E5B" w:rsidRPr="00DC3A24" w:rsidTr="006D0282">
        <w:trPr>
          <w:trHeight w:val="227"/>
          <w:jc w:val="center"/>
        </w:trPr>
        <w:tc>
          <w:tcPr>
            <w:tcW w:w="1558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  <w:tc>
          <w:tcPr>
            <w:tcW w:w="663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0"/>
                <w:lang w:val="uk-UA"/>
              </w:rPr>
            </w:pPr>
          </w:p>
        </w:tc>
        <w:tc>
          <w:tcPr>
            <w:tcW w:w="4052" w:type="dxa"/>
            <w:hideMark/>
          </w:tcPr>
          <w:p w:rsidR="00412E5B" w:rsidRPr="00DC3A24" w:rsidRDefault="00412E5B" w:rsidP="00C82E9A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892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6"/>
                <w:lang w:val="uk-UA"/>
              </w:rPr>
            </w:pPr>
          </w:p>
        </w:tc>
        <w:tc>
          <w:tcPr>
            <w:tcW w:w="1410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</w:tr>
      <w:tr w:rsidR="00412E5B" w:rsidRPr="00DC3A24" w:rsidTr="006D0282">
        <w:trPr>
          <w:trHeight w:val="227"/>
          <w:jc w:val="center"/>
        </w:trPr>
        <w:tc>
          <w:tcPr>
            <w:tcW w:w="1558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  <w:tc>
          <w:tcPr>
            <w:tcW w:w="663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0"/>
                <w:lang w:val="uk-UA"/>
              </w:rPr>
            </w:pPr>
          </w:p>
        </w:tc>
        <w:tc>
          <w:tcPr>
            <w:tcW w:w="4052" w:type="dxa"/>
            <w:hideMark/>
          </w:tcPr>
          <w:p w:rsidR="00412E5B" w:rsidRPr="00DC3A24" w:rsidRDefault="00412E5B" w:rsidP="00C82E9A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892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sz w:val="26"/>
                <w:lang w:val="uk-UA"/>
              </w:rPr>
            </w:pPr>
          </w:p>
        </w:tc>
        <w:tc>
          <w:tcPr>
            <w:tcW w:w="1410" w:type="dxa"/>
            <w:vMerge/>
            <w:hideMark/>
          </w:tcPr>
          <w:p w:rsidR="00412E5B" w:rsidRPr="00DC3A24" w:rsidRDefault="00412E5B" w:rsidP="00C82E9A">
            <w:pPr>
              <w:rPr>
                <w:rFonts w:eastAsia="Times New Roman" w:cs="Times New Roman"/>
                <w:i/>
                <w:lang w:val="uk-UA"/>
              </w:rPr>
            </w:pPr>
          </w:p>
        </w:tc>
      </w:tr>
    </w:tbl>
    <w:p w:rsidR="000B5DB4" w:rsidRDefault="000B5DB4" w:rsidP="00B30FDF">
      <w:pPr>
        <w:tabs>
          <w:tab w:val="left" w:pos="6031"/>
        </w:tabs>
        <w:rPr>
          <w:b/>
          <w:sz w:val="24"/>
          <w:szCs w:val="24"/>
        </w:rPr>
      </w:pPr>
    </w:p>
    <w:p w:rsidR="00692AC5" w:rsidRPr="00DC3A24" w:rsidRDefault="000B5DB4" w:rsidP="000B5DB4">
      <w:pPr>
        <w:tabs>
          <w:tab w:val="left" w:pos="6031"/>
        </w:tabs>
        <w:spacing w:after="0" w:line="240" w:lineRule="auto"/>
        <w:ind w:firstLine="709"/>
        <w:jc w:val="both"/>
        <w:rPr>
          <w:lang w:val="uk-UA"/>
        </w:rPr>
      </w:pPr>
      <w:r>
        <w:rPr>
          <w:b/>
          <w:sz w:val="24"/>
          <w:szCs w:val="24"/>
          <w:lang w:val="uk-UA"/>
        </w:rPr>
        <w:t>5</w:t>
      </w:r>
      <w:r w:rsidRPr="00DC3A2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uk-UA"/>
        </w:rPr>
        <w:t xml:space="preserve">Назвіть методи оцінки </w:t>
      </w:r>
      <w:r w:rsidRPr="000B5DB4">
        <w:rPr>
          <w:b/>
          <w:sz w:val="24"/>
          <w:szCs w:val="24"/>
          <w:lang w:val="uk-UA"/>
        </w:rPr>
        <w:t>довгострокових фінансових інвестицій</w:t>
      </w:r>
      <w:r>
        <w:rPr>
          <w:b/>
          <w:sz w:val="24"/>
          <w:szCs w:val="24"/>
          <w:lang w:val="uk-UA"/>
        </w:rPr>
        <w:t xml:space="preserve"> (</w:t>
      </w:r>
      <w:bookmarkStart w:id="0" w:name="_GoBack"/>
      <w:bookmarkEnd w:id="0"/>
      <w:r>
        <w:rPr>
          <w:b/>
          <w:sz w:val="24"/>
          <w:szCs w:val="24"/>
          <w:lang w:val="uk-UA"/>
        </w:rPr>
        <w:t>боргових та пайових).</w:t>
      </w:r>
    </w:p>
    <w:sectPr w:rsidR="00692AC5" w:rsidRPr="00DC3A24" w:rsidSect="001C2DA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FA8"/>
    <w:rsid w:val="0008392C"/>
    <w:rsid w:val="000B5DB4"/>
    <w:rsid w:val="000B64F8"/>
    <w:rsid w:val="00126283"/>
    <w:rsid w:val="00166852"/>
    <w:rsid w:val="001C2DA8"/>
    <w:rsid w:val="001E35AD"/>
    <w:rsid w:val="003D6FA8"/>
    <w:rsid w:val="00412E5B"/>
    <w:rsid w:val="004E3683"/>
    <w:rsid w:val="004E5F10"/>
    <w:rsid w:val="005B266C"/>
    <w:rsid w:val="005B7E3C"/>
    <w:rsid w:val="00692AC5"/>
    <w:rsid w:val="006D0282"/>
    <w:rsid w:val="0089128E"/>
    <w:rsid w:val="00A37904"/>
    <w:rsid w:val="00A94678"/>
    <w:rsid w:val="00B30FDF"/>
    <w:rsid w:val="00C54504"/>
    <w:rsid w:val="00C606AF"/>
    <w:rsid w:val="00C82E9A"/>
    <w:rsid w:val="00DC3A24"/>
    <w:rsid w:val="00E73D43"/>
    <w:rsid w:val="00EC18DF"/>
    <w:rsid w:val="00F24B63"/>
    <w:rsid w:val="00F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483146C"/>
  <w15:docId w15:val="{47804DB9-046B-4A8B-A339-C1C15D19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18D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semiHidden/>
    <w:unhideWhenUsed/>
    <w:qFormat/>
    <w:rsid w:val="00412E5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semiHidden/>
    <w:rsid w:val="00412E5B"/>
    <w:rPr>
      <w:rFonts w:eastAsia="Times New Roman" w:cs="Times New Roman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12E5B"/>
    <w:pPr>
      <w:widowControl w:val="0"/>
      <w:autoSpaceDE w:val="0"/>
      <w:autoSpaceDN w:val="0"/>
      <w:spacing w:before="103" w:after="0" w:line="240" w:lineRule="auto"/>
      <w:ind w:left="494"/>
      <w:outlineLvl w:val="2"/>
    </w:pPr>
    <w:rPr>
      <w:rFonts w:eastAsia="Times New Roman" w:cs="Times New Roman"/>
      <w:b/>
      <w:bCs/>
      <w:i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412E5B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  <w:lang w:val="uk-UA"/>
    </w:rPr>
  </w:style>
  <w:style w:type="table" w:customStyle="1" w:styleId="TableNormal">
    <w:name w:val="Table Normal"/>
    <w:uiPriority w:val="2"/>
    <w:semiHidden/>
    <w:qFormat/>
    <w:rsid w:val="00412E5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Julia Synytsia</cp:lastModifiedBy>
  <cp:revision>6</cp:revision>
  <dcterms:created xsi:type="dcterms:W3CDTF">2021-04-28T07:14:00Z</dcterms:created>
  <dcterms:modified xsi:type="dcterms:W3CDTF">2022-09-21T16:20:00Z</dcterms:modified>
</cp:coreProperties>
</file>