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3E" w:rsidRPr="00E5497D" w:rsidRDefault="00215A3E" w:rsidP="00215A3E">
      <w:pPr>
        <w:pStyle w:val="a3"/>
        <w:spacing w:before="71" w:line="324" w:lineRule="auto"/>
        <w:ind w:left="218" w:right="407" w:firstLine="708"/>
        <w:jc w:val="both"/>
        <w:rPr>
          <w:rFonts w:eastAsia="Times New Roman" w:cs="Times New Roman"/>
          <w:szCs w:val="28"/>
          <w:lang w:val="uk-UA"/>
        </w:rPr>
      </w:pPr>
      <w:r w:rsidRPr="00E5497D">
        <w:rPr>
          <w:rFonts w:eastAsia="Times New Roman" w:cs="Times New Roman"/>
          <w:szCs w:val="28"/>
          <w:lang w:val="uk-UA"/>
        </w:rPr>
        <w:t>1. На основі аналізу структури балансу надати розглянуту запропоновану кодифікацію видів інвестиційною діяльності за її об’єктами</w:t>
      </w:r>
      <w:r w:rsidR="00366415" w:rsidRPr="00E5497D">
        <w:rPr>
          <w:rFonts w:eastAsia="Times New Roman" w:cs="Times New Roman"/>
          <w:szCs w:val="28"/>
          <w:lang w:val="uk-UA"/>
        </w:rPr>
        <w:t xml:space="preserve"> та скласти таблиці.</w:t>
      </w:r>
    </w:p>
    <w:tbl>
      <w:tblPr>
        <w:tblStyle w:val="a5"/>
        <w:tblW w:w="0" w:type="auto"/>
        <w:tblInd w:w="218" w:type="dxa"/>
        <w:tblLook w:val="04A0"/>
      </w:tblPr>
      <w:tblGrid>
        <w:gridCol w:w="1450"/>
        <w:gridCol w:w="7903"/>
      </w:tblGrid>
      <w:tr w:rsidR="00215A3E" w:rsidRPr="00E5497D" w:rsidTr="00215A3E">
        <w:tc>
          <w:tcPr>
            <w:tcW w:w="1450" w:type="dxa"/>
          </w:tcPr>
          <w:p w:rsidR="00215A3E" w:rsidRPr="00E5497D" w:rsidRDefault="00215A3E" w:rsidP="00D23FFD">
            <w:pPr>
              <w:widowControl w:val="0"/>
              <w:autoSpaceDE w:val="0"/>
              <w:autoSpaceDN w:val="0"/>
              <w:spacing w:line="312" w:lineRule="auto"/>
              <w:ind w:right="408"/>
              <w:jc w:val="center"/>
              <w:rPr>
                <w:rFonts w:eastAsia="Times New Roman" w:cs="Times New Roman"/>
                <w:szCs w:val="28"/>
                <w:lang w:val="uk-UA"/>
              </w:rPr>
            </w:pPr>
            <w:r w:rsidRPr="00E5497D">
              <w:rPr>
                <w:rFonts w:eastAsia="Times New Roman" w:cs="Times New Roman"/>
                <w:szCs w:val="28"/>
                <w:lang w:val="uk-UA"/>
              </w:rPr>
              <w:t>код</w:t>
            </w:r>
          </w:p>
        </w:tc>
        <w:tc>
          <w:tcPr>
            <w:tcW w:w="7903" w:type="dxa"/>
          </w:tcPr>
          <w:p w:rsidR="00215A3E" w:rsidRPr="00E5497D" w:rsidRDefault="00D23FFD" w:rsidP="00B11EC0">
            <w:pPr>
              <w:widowControl w:val="0"/>
              <w:autoSpaceDE w:val="0"/>
              <w:autoSpaceDN w:val="0"/>
              <w:spacing w:line="312" w:lineRule="auto"/>
              <w:ind w:right="408"/>
              <w:jc w:val="center"/>
              <w:rPr>
                <w:rFonts w:eastAsia="Times New Roman" w:cs="Times New Roman"/>
                <w:szCs w:val="28"/>
                <w:lang w:val="uk-UA"/>
              </w:rPr>
            </w:pPr>
            <w:r w:rsidRPr="00E5497D">
              <w:rPr>
                <w:rFonts w:eastAsia="Times New Roman" w:cs="Times New Roman"/>
                <w:szCs w:val="28"/>
                <w:lang w:val="uk-UA"/>
              </w:rPr>
              <w:t xml:space="preserve">Характеристика кодифікації видів інвестиційною діяльності </w:t>
            </w:r>
          </w:p>
        </w:tc>
      </w:tr>
      <w:tr w:rsidR="00215A3E" w:rsidRPr="00E5497D" w:rsidTr="00215A3E">
        <w:tc>
          <w:tcPr>
            <w:tcW w:w="1450" w:type="dxa"/>
          </w:tcPr>
          <w:p w:rsidR="00215A3E" w:rsidRPr="00E5497D" w:rsidRDefault="00D23FFD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215A3E">
              <w:rPr>
                <w:rFonts w:eastAsia="Times New Roman" w:cs="Times New Roman"/>
                <w:lang w:val="uk-UA"/>
              </w:rPr>
              <w:t>код 1</w:t>
            </w:r>
          </w:p>
        </w:tc>
        <w:tc>
          <w:tcPr>
            <w:tcW w:w="7903" w:type="dxa"/>
          </w:tcPr>
          <w:p w:rsidR="00215A3E" w:rsidRPr="00E5497D" w:rsidRDefault="00215A3E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215A3E" w:rsidRPr="00E5497D" w:rsidTr="00215A3E">
        <w:tc>
          <w:tcPr>
            <w:tcW w:w="1450" w:type="dxa"/>
          </w:tcPr>
          <w:p w:rsidR="00215A3E" w:rsidRPr="00E5497D" w:rsidRDefault="00D23FFD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215A3E">
              <w:rPr>
                <w:rFonts w:eastAsia="Times New Roman" w:cs="Times New Roman"/>
                <w:lang w:val="uk-UA"/>
              </w:rPr>
              <w:t>код 2</w:t>
            </w:r>
          </w:p>
        </w:tc>
        <w:tc>
          <w:tcPr>
            <w:tcW w:w="7903" w:type="dxa"/>
          </w:tcPr>
          <w:p w:rsidR="00215A3E" w:rsidRPr="00E5497D" w:rsidRDefault="00215A3E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215A3E" w:rsidRPr="00E5497D" w:rsidTr="00215A3E">
        <w:tc>
          <w:tcPr>
            <w:tcW w:w="1450" w:type="dxa"/>
          </w:tcPr>
          <w:p w:rsidR="00215A3E" w:rsidRPr="00E5497D" w:rsidRDefault="00D23FFD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215A3E">
              <w:rPr>
                <w:rFonts w:eastAsia="Times New Roman" w:cs="Times New Roman"/>
                <w:lang w:val="uk-UA"/>
              </w:rPr>
              <w:t>код 3</w:t>
            </w:r>
          </w:p>
        </w:tc>
        <w:tc>
          <w:tcPr>
            <w:tcW w:w="7903" w:type="dxa"/>
          </w:tcPr>
          <w:p w:rsidR="00215A3E" w:rsidRPr="00E5497D" w:rsidRDefault="00215A3E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215A3E" w:rsidRPr="00E5497D" w:rsidTr="00215A3E">
        <w:tc>
          <w:tcPr>
            <w:tcW w:w="1450" w:type="dxa"/>
          </w:tcPr>
          <w:p w:rsidR="00215A3E" w:rsidRPr="00E5497D" w:rsidRDefault="00D23FFD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215A3E">
              <w:rPr>
                <w:rFonts w:eastAsia="Times New Roman" w:cs="Times New Roman"/>
                <w:lang w:val="uk-UA"/>
              </w:rPr>
              <w:t>код 4</w:t>
            </w:r>
          </w:p>
        </w:tc>
        <w:tc>
          <w:tcPr>
            <w:tcW w:w="7903" w:type="dxa"/>
          </w:tcPr>
          <w:p w:rsidR="00215A3E" w:rsidRPr="00E5497D" w:rsidRDefault="00215A3E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215A3E" w:rsidRPr="00E5497D" w:rsidTr="00215A3E">
        <w:tc>
          <w:tcPr>
            <w:tcW w:w="1450" w:type="dxa"/>
          </w:tcPr>
          <w:p w:rsidR="00215A3E" w:rsidRPr="00E5497D" w:rsidRDefault="00D23FFD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215A3E">
              <w:rPr>
                <w:rFonts w:eastAsia="Times New Roman" w:cs="Times New Roman"/>
                <w:lang w:val="uk-UA"/>
              </w:rPr>
              <w:t>код 5</w:t>
            </w:r>
          </w:p>
        </w:tc>
        <w:tc>
          <w:tcPr>
            <w:tcW w:w="7903" w:type="dxa"/>
          </w:tcPr>
          <w:p w:rsidR="00215A3E" w:rsidRPr="00E5497D" w:rsidRDefault="00215A3E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D23FFD" w:rsidRPr="00E5497D" w:rsidTr="00215A3E">
        <w:tc>
          <w:tcPr>
            <w:tcW w:w="1450" w:type="dxa"/>
          </w:tcPr>
          <w:p w:rsidR="00D23FFD" w:rsidRPr="00E5497D" w:rsidRDefault="00D23FFD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lang w:val="uk-UA"/>
              </w:rPr>
            </w:pPr>
            <w:r w:rsidRPr="00215A3E">
              <w:rPr>
                <w:rFonts w:eastAsia="Times New Roman" w:cs="Times New Roman"/>
                <w:lang w:val="uk-UA"/>
              </w:rPr>
              <w:t>код 6</w:t>
            </w:r>
          </w:p>
        </w:tc>
        <w:tc>
          <w:tcPr>
            <w:tcW w:w="7903" w:type="dxa"/>
          </w:tcPr>
          <w:p w:rsidR="00D23FFD" w:rsidRPr="00E5497D" w:rsidRDefault="00D23FFD" w:rsidP="00215A3E">
            <w:pPr>
              <w:widowControl w:val="0"/>
              <w:autoSpaceDE w:val="0"/>
              <w:autoSpaceDN w:val="0"/>
              <w:spacing w:line="312" w:lineRule="auto"/>
              <w:ind w:right="408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</w:tbl>
    <w:p w:rsidR="00215A3E" w:rsidRPr="00E5497D" w:rsidRDefault="00215A3E" w:rsidP="00215A3E">
      <w:pPr>
        <w:widowControl w:val="0"/>
        <w:autoSpaceDE w:val="0"/>
        <w:autoSpaceDN w:val="0"/>
        <w:spacing w:after="0" w:line="312" w:lineRule="auto"/>
        <w:ind w:left="218" w:right="408" w:firstLine="708"/>
        <w:jc w:val="both"/>
        <w:rPr>
          <w:rFonts w:eastAsia="Times New Roman" w:cs="Times New Roman"/>
          <w:szCs w:val="28"/>
          <w:lang w:val="uk-UA"/>
        </w:rPr>
      </w:pPr>
    </w:p>
    <w:p w:rsidR="00B11EC0" w:rsidRPr="00E5497D" w:rsidRDefault="00B11EC0" w:rsidP="00954CD9">
      <w:pPr>
        <w:pStyle w:val="Heading2"/>
        <w:spacing w:before="0"/>
        <w:ind w:left="0"/>
        <w:jc w:val="center"/>
        <w:rPr>
          <w:b w:val="0"/>
          <w:i w:val="0"/>
        </w:rPr>
      </w:pPr>
      <w:r w:rsidRPr="00E5497D">
        <w:rPr>
          <w:b w:val="0"/>
          <w:i w:val="0"/>
        </w:rPr>
        <w:t>Запропонована кодифікація складових інвестиційної діяльності підприємства</w:t>
      </w:r>
    </w:p>
    <w:p w:rsidR="00B11EC0" w:rsidRPr="00E5497D" w:rsidRDefault="00B11EC0" w:rsidP="00954CD9">
      <w:pPr>
        <w:pStyle w:val="a3"/>
        <w:spacing w:after="0" w:line="240" w:lineRule="auto"/>
        <w:jc w:val="both"/>
        <w:rPr>
          <w:sz w:val="9"/>
          <w:lang w:val="uk-UA"/>
        </w:rPr>
      </w:pPr>
    </w:p>
    <w:tbl>
      <w:tblPr>
        <w:tblStyle w:val="a5"/>
        <w:tblW w:w="9207" w:type="dxa"/>
        <w:jc w:val="center"/>
        <w:tblLayout w:type="fixed"/>
        <w:tblLook w:val="01E0"/>
      </w:tblPr>
      <w:tblGrid>
        <w:gridCol w:w="1384"/>
        <w:gridCol w:w="3402"/>
        <w:gridCol w:w="1418"/>
        <w:gridCol w:w="1302"/>
        <w:gridCol w:w="1701"/>
      </w:tblGrid>
      <w:tr w:rsidR="00B11EC0" w:rsidRPr="00E5497D" w:rsidTr="00366415">
        <w:trPr>
          <w:trHeight w:val="20"/>
          <w:jc w:val="center"/>
        </w:trPr>
        <w:tc>
          <w:tcPr>
            <w:tcW w:w="1384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  <w:r w:rsidRPr="00E5497D">
              <w:rPr>
                <w:sz w:val="20"/>
                <w:szCs w:val="20"/>
              </w:rPr>
              <w:t>Активи балансу</w:t>
            </w:r>
          </w:p>
        </w:tc>
        <w:tc>
          <w:tcPr>
            <w:tcW w:w="3402" w:type="dxa"/>
          </w:tcPr>
          <w:p w:rsidR="00B11EC0" w:rsidRPr="00E5497D" w:rsidRDefault="00B11EC0" w:rsidP="00B11EC0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</w:p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5497D">
              <w:rPr>
                <w:sz w:val="20"/>
                <w:szCs w:val="20"/>
              </w:rPr>
              <w:t>Статті балансу</w:t>
            </w:r>
          </w:p>
        </w:tc>
        <w:tc>
          <w:tcPr>
            <w:tcW w:w="1418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5497D">
              <w:rPr>
                <w:sz w:val="20"/>
                <w:szCs w:val="20"/>
              </w:rPr>
              <w:t>Код виду</w:t>
            </w:r>
          </w:p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5497D">
              <w:rPr>
                <w:sz w:val="20"/>
                <w:szCs w:val="20"/>
              </w:rPr>
              <w:t>інвестиційної діяльності</w:t>
            </w:r>
          </w:p>
        </w:tc>
        <w:tc>
          <w:tcPr>
            <w:tcW w:w="1302" w:type="dxa"/>
          </w:tcPr>
          <w:p w:rsidR="00B11EC0" w:rsidRPr="00E5497D" w:rsidRDefault="00B11EC0" w:rsidP="00B11EC0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</w:p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  <w:r w:rsidRPr="00E5497D">
              <w:rPr>
                <w:sz w:val="20"/>
                <w:szCs w:val="20"/>
              </w:rPr>
              <w:t>Придбання</w:t>
            </w:r>
          </w:p>
        </w:tc>
        <w:tc>
          <w:tcPr>
            <w:tcW w:w="1701" w:type="dxa"/>
          </w:tcPr>
          <w:p w:rsidR="00B11EC0" w:rsidRPr="00E5497D" w:rsidRDefault="00B11EC0" w:rsidP="00B11EC0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</w:p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  <w:r w:rsidRPr="00E5497D">
              <w:rPr>
                <w:sz w:val="20"/>
                <w:szCs w:val="20"/>
              </w:rPr>
              <w:t>Продаж</w:t>
            </w: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 w:val="restart"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 w:val="restart"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 w:val="restart"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  <w:tr w:rsidR="00B11EC0" w:rsidRPr="00E5497D" w:rsidTr="00366415">
        <w:trPr>
          <w:trHeight w:val="170"/>
          <w:jc w:val="center"/>
        </w:trPr>
        <w:tc>
          <w:tcPr>
            <w:tcW w:w="1384" w:type="dxa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hideMark/>
          </w:tcPr>
          <w:p w:rsidR="00B11EC0" w:rsidRPr="00E5497D" w:rsidRDefault="00B11EC0" w:rsidP="00B11E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  <w:hideMark/>
          </w:tcPr>
          <w:p w:rsidR="00B11EC0" w:rsidRPr="00E5497D" w:rsidRDefault="00B11EC0" w:rsidP="00B11EC0">
            <w:pPr>
              <w:rPr>
                <w:rFonts w:eastAsia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04D52" w:rsidRPr="00E5497D" w:rsidRDefault="00204D52" w:rsidP="00215A3E">
      <w:pPr>
        <w:rPr>
          <w:lang w:val="uk-UA"/>
        </w:rPr>
      </w:pPr>
    </w:p>
    <w:p w:rsidR="00AC37B7" w:rsidRPr="00E5497D" w:rsidRDefault="00AC37B7" w:rsidP="00AC37B7">
      <w:pPr>
        <w:pStyle w:val="Heading2"/>
        <w:spacing w:before="0"/>
        <w:ind w:left="0"/>
        <w:jc w:val="both"/>
        <w:rPr>
          <w:b w:val="0"/>
          <w:i w:val="0"/>
        </w:rPr>
      </w:pPr>
      <w:r w:rsidRPr="00E5497D">
        <w:rPr>
          <w:b w:val="0"/>
          <w:i w:val="0"/>
        </w:rPr>
        <w:t>2.</w:t>
      </w:r>
      <w:r w:rsidRPr="00E5497D">
        <w:t xml:space="preserve"> </w:t>
      </w:r>
      <w:r w:rsidRPr="00E5497D">
        <w:rPr>
          <w:b w:val="0"/>
          <w:i w:val="0"/>
        </w:rPr>
        <w:t>Опрацювати субрахунки для обліку доходів, витрат і фінансових результатів інвестиційної діяльності</w:t>
      </w:r>
      <w:r w:rsidR="00A33CE7">
        <w:rPr>
          <w:b w:val="0"/>
          <w:i w:val="0"/>
        </w:rPr>
        <w:t>. Скласти робочий план рахунків, заповнюючи таблицю.</w:t>
      </w:r>
    </w:p>
    <w:p w:rsidR="00AC37B7" w:rsidRPr="00E5497D" w:rsidRDefault="00AC37B7" w:rsidP="00AC37B7">
      <w:pPr>
        <w:pStyle w:val="Heading2"/>
        <w:spacing w:before="0"/>
        <w:ind w:left="0"/>
        <w:jc w:val="both"/>
        <w:rPr>
          <w:b w:val="0"/>
          <w:i w:val="0"/>
        </w:rPr>
      </w:pPr>
    </w:p>
    <w:tbl>
      <w:tblPr>
        <w:tblStyle w:val="TableNormal"/>
        <w:tblW w:w="8948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2422"/>
        <w:gridCol w:w="3696"/>
      </w:tblGrid>
      <w:tr w:rsidR="00AC37B7" w:rsidRPr="00E5497D" w:rsidTr="00E5497D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 w:rsidP="00AC37B7">
            <w:pPr>
              <w:pStyle w:val="TableParagraph"/>
              <w:spacing w:line="315" w:lineRule="exact"/>
              <w:jc w:val="center"/>
              <w:rPr>
                <w:rFonts w:ascii="Times New Roman" w:hAnsi="Times New Roman"/>
                <w:sz w:val="28"/>
              </w:rPr>
            </w:pPr>
            <w:r w:rsidRPr="00E5497D">
              <w:rPr>
                <w:rFonts w:ascii="Times New Roman" w:hAnsi="Times New Roman"/>
                <w:sz w:val="28"/>
              </w:rPr>
              <w:t>747 «Дохід від</w:t>
            </w:r>
          </w:p>
          <w:p w:rsidR="00AC37B7" w:rsidRPr="00E5497D" w:rsidRDefault="00AC37B7" w:rsidP="00AC37B7">
            <w:pPr>
              <w:pStyle w:val="TableParagraph"/>
              <w:spacing w:before="2" w:line="370" w:lineRule="atLeast"/>
              <w:ind w:right="1067"/>
              <w:jc w:val="center"/>
              <w:rPr>
                <w:rFonts w:ascii="Times New Roman" w:hAnsi="Times New Roman"/>
                <w:sz w:val="28"/>
              </w:rPr>
            </w:pPr>
            <w:r w:rsidRPr="00E5497D">
              <w:rPr>
                <w:rFonts w:ascii="Times New Roman" w:hAnsi="Times New Roman"/>
                <w:sz w:val="28"/>
              </w:rPr>
              <w:t>інвестиційної діяльності»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 w:rsidP="00AC37B7">
            <w:pPr>
              <w:pStyle w:val="TableParagraph"/>
              <w:spacing w:line="315" w:lineRule="exact"/>
              <w:jc w:val="center"/>
              <w:rPr>
                <w:rFonts w:ascii="Times New Roman" w:hAnsi="Times New Roman"/>
                <w:sz w:val="28"/>
              </w:rPr>
            </w:pPr>
            <w:r w:rsidRPr="00E5497D">
              <w:rPr>
                <w:rFonts w:ascii="Times New Roman" w:hAnsi="Times New Roman"/>
                <w:sz w:val="28"/>
              </w:rPr>
              <w:t>978 «Витрати</w:t>
            </w:r>
          </w:p>
          <w:p w:rsidR="00AC37B7" w:rsidRPr="00E5497D" w:rsidRDefault="00AC37B7" w:rsidP="00AC37B7">
            <w:pPr>
              <w:pStyle w:val="TableParagraph"/>
              <w:spacing w:before="2" w:line="370" w:lineRule="atLeast"/>
              <w:ind w:right="659"/>
              <w:jc w:val="center"/>
              <w:rPr>
                <w:rFonts w:ascii="Times New Roman" w:hAnsi="Times New Roman"/>
                <w:sz w:val="28"/>
              </w:rPr>
            </w:pPr>
            <w:r w:rsidRPr="00E5497D">
              <w:rPr>
                <w:rFonts w:ascii="Times New Roman" w:hAnsi="Times New Roman"/>
                <w:sz w:val="28"/>
              </w:rPr>
              <w:t>інвестиційної діяльності»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 w:rsidP="00AC37B7">
            <w:pPr>
              <w:pStyle w:val="TableParagraph"/>
              <w:spacing w:before="180" w:line="276" w:lineRule="auto"/>
              <w:ind w:left="106" w:right="493"/>
              <w:jc w:val="center"/>
              <w:rPr>
                <w:rFonts w:ascii="Times New Roman" w:hAnsi="Times New Roman"/>
                <w:sz w:val="28"/>
              </w:rPr>
            </w:pPr>
            <w:r w:rsidRPr="00E5497D">
              <w:rPr>
                <w:rFonts w:ascii="Times New Roman" w:hAnsi="Times New Roman"/>
                <w:sz w:val="28"/>
              </w:rPr>
              <w:t>793 «Результати інвестиційної діяльності»</w:t>
            </w:r>
          </w:p>
        </w:tc>
      </w:tr>
      <w:tr w:rsidR="00AC37B7" w:rsidRPr="00E5497D" w:rsidTr="00E5497D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rPr>
                <w:rFonts w:ascii="Times New Roman" w:hAnsi="Times New Roman"/>
                <w:sz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before="180" w:line="276" w:lineRule="auto"/>
              <w:ind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ind w:left="106"/>
              <w:rPr>
                <w:rFonts w:ascii="Times New Roman" w:hAnsi="Times New Roman"/>
                <w:sz w:val="28"/>
              </w:rPr>
            </w:pPr>
          </w:p>
        </w:tc>
      </w:tr>
      <w:tr w:rsidR="00AC37B7" w:rsidRPr="00E5497D" w:rsidTr="00E5497D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before="177" w:line="276" w:lineRule="auto"/>
              <w:ind w:right="350"/>
              <w:rPr>
                <w:rFonts w:ascii="Times New Roman" w:hAnsi="Times New Roman"/>
                <w:sz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B7" w:rsidRPr="00E5497D" w:rsidRDefault="00AC37B7">
            <w:pPr>
              <w:pStyle w:val="TableParagraph"/>
              <w:spacing w:before="1" w:line="276" w:lineRule="auto"/>
              <w:ind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ind w:left="106"/>
              <w:rPr>
                <w:rFonts w:ascii="Times New Roman" w:hAnsi="Times New Roman"/>
                <w:sz w:val="28"/>
              </w:rPr>
            </w:pPr>
          </w:p>
        </w:tc>
      </w:tr>
      <w:tr w:rsidR="00AC37B7" w:rsidRPr="00E5497D" w:rsidTr="00E5497D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before="177" w:line="276" w:lineRule="auto"/>
              <w:ind w:right="69"/>
              <w:rPr>
                <w:rFonts w:ascii="Times New Roman" w:hAnsi="Times New Roman"/>
                <w:sz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rPr>
                <w:rFonts w:ascii="Times New Roman" w:hAnsi="Times New Roman"/>
                <w:sz w:val="28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ind w:left="106"/>
              <w:rPr>
                <w:rFonts w:ascii="Times New Roman" w:hAnsi="Times New Roman"/>
                <w:sz w:val="28"/>
              </w:rPr>
            </w:pPr>
          </w:p>
        </w:tc>
      </w:tr>
      <w:tr w:rsidR="00AC37B7" w:rsidRPr="00E5497D" w:rsidTr="00E5497D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rPr>
                <w:rFonts w:ascii="Times New Roman" w:hAnsi="Times New Roman"/>
                <w:sz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before="177" w:line="276" w:lineRule="auto"/>
              <w:ind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B7" w:rsidRPr="00E5497D" w:rsidRDefault="00AC37B7">
            <w:pPr>
              <w:pStyle w:val="TableParagraph"/>
              <w:spacing w:line="276" w:lineRule="auto"/>
              <w:ind w:left="106" w:right="121"/>
              <w:rPr>
                <w:rFonts w:ascii="Times New Roman" w:hAnsi="Times New Roman"/>
                <w:sz w:val="28"/>
              </w:rPr>
            </w:pPr>
          </w:p>
        </w:tc>
      </w:tr>
      <w:tr w:rsidR="00AC37B7" w:rsidRPr="00E5497D" w:rsidTr="00E5497D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line="32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line="32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line="322" w:lineRule="exact"/>
              <w:ind w:left="106"/>
              <w:rPr>
                <w:rFonts w:ascii="Times New Roman" w:hAnsi="Times New Roman"/>
                <w:sz w:val="28"/>
              </w:rPr>
            </w:pPr>
          </w:p>
        </w:tc>
      </w:tr>
      <w:tr w:rsidR="00AC37B7" w:rsidRPr="00E5497D" w:rsidTr="00E5497D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line="322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before="177" w:line="276" w:lineRule="auto"/>
              <w:ind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7B7" w:rsidRPr="00E5497D" w:rsidRDefault="00AC37B7">
            <w:pPr>
              <w:pStyle w:val="TableParagraph"/>
              <w:spacing w:line="322" w:lineRule="exact"/>
              <w:ind w:left="106"/>
              <w:rPr>
                <w:rFonts w:ascii="Times New Roman" w:hAnsi="Times New Roman"/>
                <w:sz w:val="28"/>
              </w:rPr>
            </w:pPr>
          </w:p>
        </w:tc>
      </w:tr>
    </w:tbl>
    <w:p w:rsidR="00E5497D" w:rsidRPr="00E5497D" w:rsidRDefault="00E5497D" w:rsidP="00E5497D">
      <w:pPr>
        <w:pStyle w:val="a3"/>
        <w:spacing w:before="9"/>
        <w:jc w:val="both"/>
        <w:rPr>
          <w:szCs w:val="28"/>
          <w:lang w:val="uk-UA"/>
        </w:rPr>
      </w:pPr>
      <w:r w:rsidRPr="00E5497D">
        <w:rPr>
          <w:szCs w:val="28"/>
          <w:lang w:val="uk-UA"/>
        </w:rPr>
        <w:lastRenderedPageBreak/>
        <w:t>Виходячи з отриманих результатів у попередній таблиці утворити взаємозв’язок рахунків обліку доходів, витрат та фінансових результатів від інвестиційної діяльності</w:t>
      </w:r>
    </w:p>
    <w:tbl>
      <w:tblPr>
        <w:tblStyle w:val="a5"/>
        <w:tblW w:w="0" w:type="auto"/>
        <w:tblLook w:val="04A0"/>
      </w:tblPr>
      <w:tblGrid>
        <w:gridCol w:w="4361"/>
        <w:gridCol w:w="4662"/>
      </w:tblGrid>
      <w:tr w:rsidR="00632C5F" w:rsidRPr="00E5497D" w:rsidTr="00E5497D">
        <w:tc>
          <w:tcPr>
            <w:tcW w:w="4361" w:type="dxa"/>
            <w:vMerge w:val="restart"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</w:pPr>
            <w:r w:rsidRPr="00E5497D">
              <w:rPr>
                <w:sz w:val="28"/>
              </w:rPr>
              <w:t>793.1 «Результати інвестиційної діяльності пов’язані з нематеріальними активами»</w:t>
            </w: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  <w:rPr>
                <w:sz w:val="28"/>
              </w:rPr>
            </w:pP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 w:val="restart"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</w:pPr>
            <w:r w:rsidRPr="00E5497D">
              <w:rPr>
                <w:sz w:val="28"/>
              </w:rPr>
              <w:t>793.2 «Результати інвестиційної діяльності пов’язані з основними засобами</w:t>
            </w: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  <w:rPr>
                <w:sz w:val="28"/>
              </w:rPr>
            </w:pP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 w:val="restart"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</w:pPr>
            <w:r w:rsidRPr="00E5497D">
              <w:rPr>
                <w:sz w:val="28"/>
              </w:rPr>
              <w:t>793.3 «Результати інвестиційної діяльності пов’язані з іншими необоротними активами»</w:t>
            </w: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  <w:rPr>
                <w:sz w:val="28"/>
              </w:rPr>
            </w:pP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 w:val="restart"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</w:pPr>
            <w:r w:rsidRPr="00E5497D">
              <w:rPr>
                <w:sz w:val="28"/>
              </w:rPr>
              <w:t>793.4 «Результати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інвестиційної діяльності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пов’язані з довгостроковими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інвестиціями, які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обліковуються за методом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участі в капіталі»</w:t>
            </w: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  <w:rPr>
                <w:sz w:val="28"/>
              </w:rPr>
            </w:pP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 w:val="restart"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</w:pPr>
            <w:r w:rsidRPr="00E5497D">
              <w:rPr>
                <w:sz w:val="28"/>
              </w:rPr>
              <w:t>793.5 «Результати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інвестиційної діяльності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пов’язані з іншими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довгостроковими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фінансовими інвестиціями»</w:t>
            </w: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  <w:rPr>
                <w:sz w:val="28"/>
              </w:rPr>
            </w:pP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 w:val="restart"/>
          </w:tcPr>
          <w:p w:rsidR="00632C5F" w:rsidRPr="00E5497D" w:rsidRDefault="00632C5F" w:rsidP="00E5497D">
            <w:pPr>
              <w:pStyle w:val="TableParagraph"/>
              <w:tabs>
                <w:tab w:val="left" w:pos="933"/>
              </w:tabs>
              <w:ind w:left="0"/>
            </w:pPr>
            <w:r w:rsidRPr="00E5497D">
              <w:rPr>
                <w:sz w:val="28"/>
              </w:rPr>
              <w:t>793.6 «Результати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інвестиційної діяльності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пов’язані з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короткостроковими</w:t>
            </w:r>
            <w:r w:rsidR="00E5497D" w:rsidRPr="00E5497D">
              <w:rPr>
                <w:sz w:val="28"/>
              </w:rPr>
              <w:t xml:space="preserve"> </w:t>
            </w:r>
            <w:r w:rsidRPr="00E5497D">
              <w:rPr>
                <w:sz w:val="28"/>
              </w:rPr>
              <w:t>фінансовими інвестиціями»</w:t>
            </w: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  <w:tr w:rsidR="00632C5F" w:rsidRPr="00E5497D" w:rsidTr="00E5497D">
        <w:tc>
          <w:tcPr>
            <w:tcW w:w="4361" w:type="dxa"/>
            <w:vMerge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  <w:tc>
          <w:tcPr>
            <w:tcW w:w="4662" w:type="dxa"/>
          </w:tcPr>
          <w:p w:rsidR="00632C5F" w:rsidRPr="00E5497D" w:rsidRDefault="00632C5F" w:rsidP="00E5497D">
            <w:pPr>
              <w:rPr>
                <w:lang w:val="uk-UA"/>
              </w:rPr>
            </w:pPr>
          </w:p>
        </w:tc>
      </w:tr>
    </w:tbl>
    <w:p w:rsidR="00204D52" w:rsidRPr="00E5497D" w:rsidRDefault="00204D52">
      <w:pPr>
        <w:rPr>
          <w:lang w:val="uk-UA"/>
        </w:rPr>
      </w:pPr>
    </w:p>
    <w:p w:rsidR="00204D52" w:rsidRPr="00E5497D" w:rsidRDefault="00204D52">
      <w:pPr>
        <w:rPr>
          <w:lang w:val="uk-UA"/>
        </w:rPr>
      </w:pPr>
    </w:p>
    <w:sectPr w:rsidR="00204D52" w:rsidRPr="00E5497D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9218B"/>
    <w:multiLevelType w:val="hybridMultilevel"/>
    <w:tmpl w:val="335C96AA"/>
    <w:lvl w:ilvl="0" w:tplc="9F002BD6">
      <w:numFmt w:val="bullet"/>
      <w:lvlText w:val=""/>
      <w:lvlJc w:val="left"/>
      <w:pPr>
        <w:ind w:left="218" w:hanging="23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F06AAE0">
      <w:numFmt w:val="bullet"/>
      <w:lvlText w:val="•"/>
      <w:lvlJc w:val="left"/>
      <w:pPr>
        <w:ind w:left="1168" w:hanging="231"/>
      </w:pPr>
      <w:rPr>
        <w:rFonts w:hint="default"/>
        <w:lang w:val="uk-UA" w:eastAsia="en-US" w:bidi="ar-SA"/>
      </w:rPr>
    </w:lvl>
    <w:lvl w:ilvl="2" w:tplc="E2149390">
      <w:numFmt w:val="bullet"/>
      <w:lvlText w:val="•"/>
      <w:lvlJc w:val="left"/>
      <w:pPr>
        <w:ind w:left="2116" w:hanging="231"/>
      </w:pPr>
      <w:rPr>
        <w:rFonts w:hint="default"/>
        <w:lang w:val="uk-UA" w:eastAsia="en-US" w:bidi="ar-SA"/>
      </w:rPr>
    </w:lvl>
    <w:lvl w:ilvl="3" w:tplc="8CC4C54E">
      <w:numFmt w:val="bullet"/>
      <w:lvlText w:val="•"/>
      <w:lvlJc w:val="left"/>
      <w:pPr>
        <w:ind w:left="3064" w:hanging="231"/>
      </w:pPr>
      <w:rPr>
        <w:rFonts w:hint="default"/>
        <w:lang w:val="uk-UA" w:eastAsia="en-US" w:bidi="ar-SA"/>
      </w:rPr>
    </w:lvl>
    <w:lvl w:ilvl="4" w:tplc="BD3E778E">
      <w:numFmt w:val="bullet"/>
      <w:lvlText w:val="•"/>
      <w:lvlJc w:val="left"/>
      <w:pPr>
        <w:ind w:left="4012" w:hanging="231"/>
      </w:pPr>
      <w:rPr>
        <w:rFonts w:hint="default"/>
        <w:lang w:val="uk-UA" w:eastAsia="en-US" w:bidi="ar-SA"/>
      </w:rPr>
    </w:lvl>
    <w:lvl w:ilvl="5" w:tplc="0C6E3850">
      <w:numFmt w:val="bullet"/>
      <w:lvlText w:val="•"/>
      <w:lvlJc w:val="left"/>
      <w:pPr>
        <w:ind w:left="4960" w:hanging="231"/>
      </w:pPr>
      <w:rPr>
        <w:rFonts w:hint="default"/>
        <w:lang w:val="uk-UA" w:eastAsia="en-US" w:bidi="ar-SA"/>
      </w:rPr>
    </w:lvl>
    <w:lvl w:ilvl="6" w:tplc="AF1C47B8">
      <w:numFmt w:val="bullet"/>
      <w:lvlText w:val="•"/>
      <w:lvlJc w:val="left"/>
      <w:pPr>
        <w:ind w:left="5908" w:hanging="231"/>
      </w:pPr>
      <w:rPr>
        <w:rFonts w:hint="default"/>
        <w:lang w:val="uk-UA" w:eastAsia="en-US" w:bidi="ar-SA"/>
      </w:rPr>
    </w:lvl>
    <w:lvl w:ilvl="7" w:tplc="E7761C4C">
      <w:numFmt w:val="bullet"/>
      <w:lvlText w:val="•"/>
      <w:lvlJc w:val="left"/>
      <w:pPr>
        <w:ind w:left="6856" w:hanging="231"/>
      </w:pPr>
      <w:rPr>
        <w:rFonts w:hint="default"/>
        <w:lang w:val="uk-UA" w:eastAsia="en-US" w:bidi="ar-SA"/>
      </w:rPr>
    </w:lvl>
    <w:lvl w:ilvl="8" w:tplc="D9564096">
      <w:numFmt w:val="bullet"/>
      <w:lvlText w:val="•"/>
      <w:lvlJc w:val="left"/>
      <w:pPr>
        <w:ind w:left="7804" w:hanging="23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D52"/>
    <w:rsid w:val="0008392C"/>
    <w:rsid w:val="000B64F8"/>
    <w:rsid w:val="001E35AD"/>
    <w:rsid w:val="00204D52"/>
    <w:rsid w:val="00215A3E"/>
    <w:rsid w:val="00366415"/>
    <w:rsid w:val="004A3C09"/>
    <w:rsid w:val="005409E2"/>
    <w:rsid w:val="00556C83"/>
    <w:rsid w:val="00632C5F"/>
    <w:rsid w:val="00692AC5"/>
    <w:rsid w:val="00954CD9"/>
    <w:rsid w:val="00A33CE7"/>
    <w:rsid w:val="00A70294"/>
    <w:rsid w:val="00A94678"/>
    <w:rsid w:val="00AC37B7"/>
    <w:rsid w:val="00B11EC0"/>
    <w:rsid w:val="00C54504"/>
    <w:rsid w:val="00C83C64"/>
    <w:rsid w:val="00D23FFD"/>
    <w:rsid w:val="00E5497D"/>
    <w:rsid w:val="00F24B63"/>
    <w:rsid w:val="00FB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15A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15A3E"/>
  </w:style>
  <w:style w:type="table" w:styleId="a5">
    <w:name w:val="Table Grid"/>
    <w:basedOn w:val="a1"/>
    <w:uiPriority w:val="59"/>
    <w:rsid w:val="00215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uiPriority w:val="1"/>
    <w:qFormat/>
    <w:rsid w:val="00B11EC0"/>
    <w:pPr>
      <w:widowControl w:val="0"/>
      <w:autoSpaceDE w:val="0"/>
      <w:autoSpaceDN w:val="0"/>
      <w:spacing w:before="103" w:after="0" w:line="240" w:lineRule="auto"/>
      <w:ind w:left="494"/>
      <w:outlineLvl w:val="2"/>
    </w:pPr>
    <w:rPr>
      <w:rFonts w:eastAsia="Times New Roman" w:cs="Times New Roman"/>
      <w:b/>
      <w:bCs/>
      <w:i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B11EC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uk-UA"/>
    </w:rPr>
  </w:style>
  <w:style w:type="table" w:customStyle="1" w:styleId="TableNormal">
    <w:name w:val="Table Normal"/>
    <w:uiPriority w:val="2"/>
    <w:semiHidden/>
    <w:qFormat/>
    <w:rsid w:val="00B11EC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2021-05-05T10:54:00Z</dcterms:created>
  <dcterms:modified xsi:type="dcterms:W3CDTF">2021-05-05T11:26:00Z</dcterms:modified>
</cp:coreProperties>
</file>