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6A" w:rsidRPr="00F30AEE" w:rsidRDefault="006D6F6A" w:rsidP="006D6F6A">
      <w:pPr>
        <w:widowControl w:val="0"/>
        <w:numPr>
          <w:ilvl w:val="1"/>
          <w:numId w:val="1"/>
        </w:numPr>
        <w:jc w:val="both"/>
        <w:rPr>
          <w:b/>
          <w:sz w:val="26"/>
          <w:szCs w:val="26"/>
          <w:lang w:val="uk-UA"/>
        </w:rPr>
      </w:pPr>
      <w:r w:rsidRPr="00F30AEE">
        <w:rPr>
          <w:b/>
          <w:sz w:val="26"/>
          <w:szCs w:val="26"/>
          <w:lang w:val="uk-UA"/>
        </w:rPr>
        <w:t>Вправи для самостійної роботи.</w:t>
      </w:r>
    </w:p>
    <w:p w:rsidR="006D6F6A" w:rsidRPr="00FA61CF" w:rsidRDefault="006D6F6A" w:rsidP="006D6F6A">
      <w:pPr>
        <w:widowControl w:val="0"/>
        <w:ind w:left="1234"/>
        <w:jc w:val="both"/>
        <w:rPr>
          <w:b/>
          <w:sz w:val="28"/>
          <w:szCs w:val="28"/>
          <w:lang w:val="uk-UA"/>
        </w:rPr>
      </w:pP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6"/>
          <w:szCs w:val="26"/>
          <w:lang w:val="uk-UA"/>
        </w:rPr>
      </w:pPr>
      <w:r w:rsidRPr="00FA61CF">
        <w:rPr>
          <w:b/>
          <w:iCs/>
          <w:sz w:val="26"/>
          <w:szCs w:val="26"/>
          <w:lang w:val="uk-UA"/>
        </w:rPr>
        <w:t>Вправа</w:t>
      </w:r>
      <w:r w:rsidRPr="00FA61CF">
        <w:rPr>
          <w:b/>
          <w:sz w:val="26"/>
          <w:szCs w:val="26"/>
          <w:lang w:val="uk-UA"/>
        </w:rPr>
        <w:t xml:space="preserve"> 1.</w:t>
      </w: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Необхідно заповнити таблицю 1.7: вказати на яких принципах ґрунтується Податкове законодавство України: </w:t>
      </w: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1.7 – Принципи податкового законодавства та їх сутність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Принцип</w:t>
            </w: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Сутність</w:t>
            </w: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5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D6F6A" w:rsidRPr="00FA61CF" w:rsidRDefault="006D6F6A" w:rsidP="008D67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</w:tbl>
    <w:p w:rsidR="006D6F6A" w:rsidRPr="00FA61CF" w:rsidRDefault="006D6F6A" w:rsidP="006D6F6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6D6F6A" w:rsidRPr="00FA61CF" w:rsidRDefault="006D6F6A" w:rsidP="006D6F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A61CF">
        <w:rPr>
          <w:b/>
          <w:iCs/>
          <w:sz w:val="26"/>
          <w:szCs w:val="26"/>
          <w:lang w:val="uk-UA"/>
        </w:rPr>
        <w:t>Вправа</w:t>
      </w:r>
      <w:r w:rsidRPr="00FA61CF">
        <w:rPr>
          <w:b/>
          <w:sz w:val="26"/>
          <w:szCs w:val="26"/>
          <w:lang w:val="uk-UA"/>
        </w:rPr>
        <w:t xml:space="preserve"> 2.</w:t>
      </w:r>
      <w:r w:rsidRPr="00FA61CF">
        <w:rPr>
          <w:sz w:val="28"/>
          <w:szCs w:val="28"/>
          <w:lang w:val="uk-UA"/>
        </w:rPr>
        <w:t xml:space="preserve"> </w:t>
      </w:r>
    </w:p>
    <w:p w:rsidR="006D6F6A" w:rsidRPr="00FA61CF" w:rsidRDefault="006D6F6A" w:rsidP="006D6F6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6D6F6A" w:rsidRPr="00FA61CF" w:rsidRDefault="006D6F6A" w:rsidP="006D6F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Які існують основні обставини альтернативності податкових наслідків різних варіантів здійснення господарської діяльності? Необхідно заповнити таблицю 1.8.</w:t>
      </w:r>
    </w:p>
    <w:p w:rsidR="006D6F6A" w:rsidRPr="00FA61CF" w:rsidRDefault="006D6F6A" w:rsidP="006D6F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1.8 - Обставини альтернативності податкових наслідків та їх сутність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Обставини</w:t>
            </w:r>
          </w:p>
        </w:tc>
        <w:tc>
          <w:tcPr>
            <w:tcW w:w="4786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Сутність</w:t>
            </w: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</w:tbl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Cs/>
          <w:sz w:val="26"/>
          <w:szCs w:val="26"/>
          <w:lang w:val="uk-UA"/>
        </w:rPr>
      </w:pP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b/>
          <w:iCs/>
          <w:sz w:val="26"/>
          <w:szCs w:val="26"/>
          <w:lang w:val="uk-UA"/>
        </w:rPr>
        <w:t>Вправа</w:t>
      </w:r>
      <w:r w:rsidRPr="00FA61CF">
        <w:rPr>
          <w:b/>
          <w:sz w:val="26"/>
          <w:szCs w:val="26"/>
          <w:lang w:val="uk-UA"/>
        </w:rPr>
        <w:t xml:space="preserve"> 3.</w:t>
      </w:r>
      <w:r w:rsidRPr="00FA61CF">
        <w:rPr>
          <w:sz w:val="28"/>
          <w:szCs w:val="28"/>
          <w:lang w:val="uk-UA"/>
        </w:rPr>
        <w:t xml:space="preserve"> </w:t>
      </w: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16"/>
          <w:szCs w:val="16"/>
          <w:lang w:val="uk-UA"/>
        </w:rPr>
      </w:pP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Яку </w:t>
      </w:r>
      <w:r w:rsidRPr="00FA61CF">
        <w:rPr>
          <w:iCs/>
          <w:sz w:val="28"/>
          <w:szCs w:val="28"/>
          <w:lang w:val="uk-UA"/>
        </w:rPr>
        <w:t>альтернативність податкового планування забезпечують зазначені у таблиці</w:t>
      </w:r>
      <w:r w:rsidRPr="00FA61CF">
        <w:rPr>
          <w:sz w:val="28"/>
          <w:szCs w:val="28"/>
          <w:lang w:val="uk-UA"/>
        </w:rPr>
        <w:t xml:space="preserve"> у</w:t>
      </w:r>
      <w:r w:rsidRPr="00FA61CF">
        <w:rPr>
          <w:iCs/>
          <w:sz w:val="28"/>
          <w:szCs w:val="28"/>
          <w:lang w:val="uk-UA"/>
        </w:rPr>
        <w:t xml:space="preserve">мови? </w:t>
      </w:r>
      <w:r w:rsidRPr="00FA61CF">
        <w:rPr>
          <w:sz w:val="28"/>
          <w:szCs w:val="28"/>
          <w:lang w:val="uk-UA"/>
        </w:rPr>
        <w:t>Необхідно заповнити таблицю 1.9.</w:t>
      </w:r>
    </w:p>
    <w:p w:rsidR="006D6F6A" w:rsidRPr="00FA61CF" w:rsidRDefault="006D6F6A" w:rsidP="006D6F6A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z w:val="16"/>
          <w:szCs w:val="16"/>
          <w:lang w:val="uk-UA"/>
        </w:rPr>
      </w:pPr>
      <w:r w:rsidRPr="00FA61CF">
        <w:rPr>
          <w:sz w:val="28"/>
          <w:szCs w:val="28"/>
          <w:lang w:val="uk-UA"/>
        </w:rPr>
        <w:t xml:space="preserve">Таблиця 1.9 - </w:t>
      </w:r>
      <w:r w:rsidRPr="00FA61CF">
        <w:rPr>
          <w:iCs/>
          <w:sz w:val="28"/>
          <w:szCs w:val="28"/>
          <w:lang w:val="uk-UA"/>
        </w:rPr>
        <w:t>Альтернативність податкового планування за різних умов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Умови</w:t>
            </w:r>
          </w:p>
        </w:tc>
        <w:tc>
          <w:tcPr>
            <w:tcW w:w="4786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Можливість/альтернативність</w:t>
            </w:r>
          </w:p>
        </w:tc>
      </w:tr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1. При створенні господарського суб'єкта господарювання:</w:t>
            </w:r>
          </w:p>
        </w:tc>
        <w:tc>
          <w:tcPr>
            <w:tcW w:w="4786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  <w:vAlign w:val="center"/>
          </w:tcPr>
          <w:p w:rsidR="006D6F6A" w:rsidRPr="00FA61CF" w:rsidRDefault="006D6F6A" w:rsidP="008D6747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2. У процесі господарської діяльності:</w:t>
            </w: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D6F6A" w:rsidRPr="00FA61CF" w:rsidTr="008D6747">
        <w:tc>
          <w:tcPr>
            <w:tcW w:w="4785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D6F6A" w:rsidRPr="00FA61CF" w:rsidRDefault="006D6F6A" w:rsidP="008D6747">
            <w:pPr>
              <w:widowControl w:val="0"/>
              <w:spacing w:line="216" w:lineRule="auto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D6F6A" w:rsidRPr="00FA61CF" w:rsidRDefault="006D6F6A" w:rsidP="006D6F6A">
      <w:pPr>
        <w:spacing w:line="223" w:lineRule="auto"/>
        <w:ind w:left="360"/>
        <w:jc w:val="both"/>
        <w:rPr>
          <w:sz w:val="28"/>
          <w:szCs w:val="28"/>
          <w:lang w:val="uk-UA"/>
        </w:rPr>
      </w:pPr>
    </w:p>
    <w:p w:rsidR="006D6F6A" w:rsidRPr="00FA61CF" w:rsidRDefault="006D6F6A" w:rsidP="006D6F6A">
      <w:pPr>
        <w:spacing w:line="223" w:lineRule="auto"/>
        <w:ind w:firstLine="708"/>
        <w:jc w:val="both"/>
        <w:rPr>
          <w:bCs/>
          <w:sz w:val="28"/>
          <w:szCs w:val="28"/>
          <w:lang w:val="uk-UA"/>
        </w:rPr>
      </w:pPr>
      <w:r w:rsidRPr="00FA61CF">
        <w:rPr>
          <w:b/>
          <w:iCs/>
          <w:sz w:val="26"/>
          <w:szCs w:val="26"/>
          <w:lang w:val="uk-UA"/>
        </w:rPr>
        <w:t>Вправа</w:t>
      </w:r>
      <w:r w:rsidRPr="00FA61CF">
        <w:rPr>
          <w:b/>
          <w:sz w:val="26"/>
          <w:szCs w:val="26"/>
          <w:lang w:val="uk-UA"/>
        </w:rPr>
        <w:t xml:space="preserve"> 4.</w:t>
      </w:r>
      <w:r w:rsidRPr="00FA61CF">
        <w:rPr>
          <w:bCs/>
          <w:sz w:val="28"/>
          <w:szCs w:val="28"/>
          <w:lang w:val="uk-UA"/>
        </w:rPr>
        <w:t xml:space="preserve"> </w:t>
      </w:r>
    </w:p>
    <w:p w:rsidR="006D6F6A" w:rsidRPr="00FA61CF" w:rsidRDefault="006D6F6A" w:rsidP="006D6F6A">
      <w:pPr>
        <w:spacing w:line="223" w:lineRule="auto"/>
        <w:jc w:val="both"/>
        <w:rPr>
          <w:bCs/>
          <w:sz w:val="16"/>
          <w:szCs w:val="16"/>
          <w:lang w:val="uk-UA"/>
        </w:rPr>
      </w:pPr>
    </w:p>
    <w:p w:rsidR="006D6F6A" w:rsidRPr="00FA61CF" w:rsidRDefault="006D6F6A" w:rsidP="006D6F6A">
      <w:pPr>
        <w:spacing w:line="223" w:lineRule="auto"/>
        <w:ind w:firstLine="708"/>
        <w:jc w:val="both"/>
        <w:rPr>
          <w:bCs/>
          <w:sz w:val="28"/>
          <w:szCs w:val="28"/>
          <w:lang w:val="uk-UA"/>
        </w:rPr>
      </w:pPr>
      <w:r w:rsidRPr="00FA61CF">
        <w:rPr>
          <w:bCs/>
          <w:sz w:val="28"/>
          <w:szCs w:val="28"/>
          <w:lang w:val="uk-UA"/>
        </w:rPr>
        <w:t>Скласти організаційну структуру Головного управління ДФС однієї з   наступних областей відповідно до варіанту.</w:t>
      </w:r>
    </w:p>
    <w:p w:rsidR="006D6F6A" w:rsidRPr="00FA61CF" w:rsidRDefault="006D6F6A" w:rsidP="006D6F6A">
      <w:pPr>
        <w:ind w:firstLine="708"/>
        <w:jc w:val="both"/>
        <w:rPr>
          <w:sz w:val="16"/>
          <w:szCs w:val="16"/>
          <w:lang w:val="uk-UA"/>
        </w:rPr>
      </w:pPr>
      <w:r w:rsidRPr="00FA61CF">
        <w:rPr>
          <w:sz w:val="28"/>
          <w:szCs w:val="28"/>
          <w:lang w:val="uk-UA"/>
        </w:rPr>
        <w:lastRenderedPageBreak/>
        <w:t xml:space="preserve">Таблиця 1.10 – Перелік </w:t>
      </w:r>
      <w:r w:rsidRPr="00FA61CF">
        <w:rPr>
          <w:bCs/>
          <w:sz w:val="28"/>
          <w:szCs w:val="28"/>
          <w:lang w:val="uk-UA"/>
        </w:rPr>
        <w:t>областей</w:t>
      </w:r>
      <w:r w:rsidRPr="00FA61CF">
        <w:rPr>
          <w:sz w:val="28"/>
          <w:szCs w:val="28"/>
          <w:lang w:val="uk-UA"/>
        </w:rPr>
        <w:t xml:space="preserve"> для складання їх </w:t>
      </w:r>
      <w:r w:rsidRPr="00FA61CF">
        <w:rPr>
          <w:bCs/>
          <w:sz w:val="28"/>
          <w:szCs w:val="28"/>
          <w:lang w:val="uk-UA"/>
        </w:rPr>
        <w:t>організаційної структури Головного управління ДФС згідно з варіантом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3231"/>
        <w:gridCol w:w="1418"/>
        <w:gridCol w:w="3401"/>
      </w:tblGrid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Область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Вінницька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Київська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Волинська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Кіровоградська 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Дніпропетровська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Луганська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Донецька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Львівська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Житомирська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Миколаївська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Закарпатська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Одеська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Івано-Франківська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Полтавська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FA61CF">
              <w:rPr>
                <w:rFonts w:ascii="Open Sans" w:hAnsi="Open Sans"/>
                <w:sz w:val="26"/>
                <w:szCs w:val="26"/>
                <w:lang w:val="uk-UA"/>
              </w:rPr>
              <w:t>Херсонська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Рівненська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Хмельницька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FA61CF">
              <w:rPr>
                <w:rFonts w:ascii="Open Sans" w:hAnsi="Open Sans"/>
                <w:sz w:val="26"/>
                <w:szCs w:val="26"/>
                <w:lang w:val="uk-UA"/>
              </w:rPr>
              <w:t>21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Сумська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Черкаська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FA61CF">
              <w:rPr>
                <w:rFonts w:ascii="Open Sans" w:hAnsi="Open Sans"/>
                <w:sz w:val="26"/>
                <w:szCs w:val="26"/>
                <w:lang w:val="uk-UA"/>
              </w:rPr>
              <w:t>22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Тернопільська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Чернівецька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FA61CF">
              <w:rPr>
                <w:rFonts w:ascii="Open Sans" w:hAnsi="Open Sans"/>
                <w:sz w:val="26"/>
                <w:szCs w:val="26"/>
                <w:lang w:val="uk-UA"/>
              </w:rPr>
              <w:t>23</w:t>
            </w: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Харківська</w:t>
            </w:r>
          </w:p>
        </w:tc>
      </w:tr>
      <w:tr w:rsidR="006D6F6A" w:rsidRPr="00FA61CF" w:rsidTr="008D6747">
        <w:trPr>
          <w:jc w:val="center"/>
        </w:trPr>
        <w:tc>
          <w:tcPr>
            <w:tcW w:w="1306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FA61C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23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  <w:r w:rsidRPr="006D6F6A">
              <w:rPr>
                <w:rFonts w:ascii="Open Sans" w:hAnsi="Open Sans"/>
                <w:sz w:val="26"/>
                <w:szCs w:val="26"/>
                <w:lang w:val="uk-UA"/>
              </w:rPr>
              <w:t>Чернігівська</w:t>
            </w:r>
          </w:p>
        </w:tc>
        <w:tc>
          <w:tcPr>
            <w:tcW w:w="1418" w:type="dxa"/>
          </w:tcPr>
          <w:p w:rsidR="006D6F6A" w:rsidRPr="00FA61CF" w:rsidRDefault="006D6F6A" w:rsidP="008D6747">
            <w:pPr>
              <w:spacing w:line="216" w:lineRule="auto"/>
              <w:jc w:val="center"/>
              <w:rPr>
                <w:rFonts w:ascii="Open Sans" w:hAnsi="Open Sans"/>
                <w:sz w:val="26"/>
                <w:szCs w:val="26"/>
                <w:lang w:val="uk-UA"/>
              </w:rPr>
            </w:pPr>
          </w:p>
        </w:tc>
        <w:tc>
          <w:tcPr>
            <w:tcW w:w="3401" w:type="dxa"/>
          </w:tcPr>
          <w:p w:rsidR="006D6F6A" w:rsidRPr="00FA61CF" w:rsidRDefault="006D6F6A" w:rsidP="008D6747">
            <w:pPr>
              <w:spacing w:line="216" w:lineRule="auto"/>
              <w:jc w:val="both"/>
              <w:rPr>
                <w:rFonts w:ascii="Open Sans" w:hAnsi="Open Sans"/>
                <w:sz w:val="26"/>
                <w:szCs w:val="26"/>
                <w:lang w:val="uk-UA"/>
              </w:rPr>
            </w:pPr>
          </w:p>
        </w:tc>
      </w:tr>
    </w:tbl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4E"/>
    <w:multiLevelType w:val="multilevel"/>
    <w:tmpl w:val="114AB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6D6F6A"/>
    <w:rsid w:val="0008392C"/>
    <w:rsid w:val="000B64F8"/>
    <w:rsid w:val="001E35AD"/>
    <w:rsid w:val="00692AC5"/>
    <w:rsid w:val="006D6F6A"/>
    <w:rsid w:val="00A94678"/>
    <w:rsid w:val="00B50A1B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2021-03-27T17:53:00Z</dcterms:created>
  <dcterms:modified xsi:type="dcterms:W3CDTF">2021-03-27T17:55:00Z</dcterms:modified>
</cp:coreProperties>
</file>