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DA" w:rsidRPr="00FA61CF" w:rsidRDefault="00B52CDA" w:rsidP="00B52CDA">
      <w:pPr>
        <w:pStyle w:val="Style223"/>
        <w:widowControl/>
        <w:tabs>
          <w:tab w:val="left" w:pos="431"/>
          <w:tab w:val="left" w:pos="900"/>
        </w:tabs>
        <w:spacing w:line="223" w:lineRule="auto"/>
        <w:ind w:left="709" w:firstLine="0"/>
        <w:jc w:val="both"/>
        <w:rPr>
          <w:sz w:val="28"/>
          <w:szCs w:val="28"/>
          <w:lang w:val="uk-UA"/>
        </w:rPr>
      </w:pPr>
    </w:p>
    <w:p w:rsidR="00B52CDA" w:rsidRPr="00FA61CF" w:rsidRDefault="00B52CDA" w:rsidP="00B52CDA">
      <w:pPr>
        <w:widowControl w:val="0"/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  <w:r w:rsidRPr="00FA61CF">
        <w:rPr>
          <w:b/>
          <w:sz w:val="28"/>
          <w:szCs w:val="28"/>
          <w:lang w:val="uk-UA"/>
        </w:rPr>
        <w:t>7.10 Практичні завдання.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C44C50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1.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6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Дистриб’юторська компанія Х продає телевізори, які вона закупає у трьох виробників – А, В та С. Компанія А є пов’язаною особою для Компанії Х.</w:t>
      </w:r>
      <w:r w:rsidRPr="00FA61CF">
        <w:rPr>
          <w:b/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 xml:space="preserve">Припустимо, що не існує суттєвих відмінностей між функціями, які Компанія Х виконує при перепродажу товарів всіх трьох виробників. Ціна продажу складає 10 000 грн. Середній відсоток </w:t>
      </w:r>
      <w:proofErr w:type="spellStart"/>
      <w:r w:rsidRPr="00FA61CF">
        <w:rPr>
          <w:sz w:val="28"/>
          <w:szCs w:val="28"/>
          <w:lang w:val="uk-UA"/>
        </w:rPr>
        <w:t>маржинального</w:t>
      </w:r>
      <w:proofErr w:type="spellEnd"/>
      <w:r w:rsidRPr="00FA61CF">
        <w:rPr>
          <w:sz w:val="28"/>
          <w:szCs w:val="28"/>
          <w:lang w:val="uk-UA"/>
        </w:rPr>
        <w:t xml:space="preserve"> прибутку (відношення валового прибутку до ціни продажу) при продажу телевізорів марок В та С складає 20%. Розрахувати </w:t>
      </w:r>
      <w:r w:rsidRPr="00FA61CF">
        <w:rPr>
          <w:b/>
          <w:sz w:val="28"/>
          <w:szCs w:val="28"/>
          <w:lang w:val="uk-UA"/>
        </w:rPr>
        <w:t>за методом ціни перепродажу</w:t>
      </w:r>
      <w:r w:rsidRPr="00FA61CF">
        <w:rPr>
          <w:sz w:val="28"/>
          <w:szCs w:val="28"/>
          <w:lang w:val="uk-UA"/>
        </w:rPr>
        <w:t xml:space="preserve"> трансфертні ціни придбання товарів у Компанії А</w:t>
      </w:r>
      <w:r w:rsidRPr="00FA61CF">
        <w:rPr>
          <w:b/>
          <w:sz w:val="28"/>
          <w:szCs w:val="28"/>
          <w:lang w:val="uk-UA"/>
        </w:rPr>
        <w:t>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Трансфертна ціна = Ціна продажу × (100 – 20) ÷ 100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Трансфертна ціна = 10000 × (100 – 20) ÷ 100=8000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Безпосередньо порівняти ціни придбання телевізорів у різних виробників неможливо, оскільки вони відрізняються залежно від моделі та бренда виробника. Але середній відсоток валового прибутку, який компанія Х отримує при продажу телевізорів різних виробників, буде однаковим, якщо операції відповідають принципу «витягнутої руки».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0"/>
          <w:lang w:val="uk-UA"/>
        </w:rPr>
      </w:pPr>
    </w:p>
    <w:p w:rsidR="00B52CDA" w:rsidRPr="00C44C50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2.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Компанія А є виробником та експортером споживчих товарів. Продаж своєї продукції на ринку США Компанія А веде через дочірню Компанію В, тоді як на ринку країн ЄС продаж товарів компанії здійснюють незалежні дистриб’ютори.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Припустимо, що не існує суттєвих відмінностей між функціями, які Компанія А виконує при продажу товарів дочірній компанії та незалежним дистриб’юторам. Середній відсоток націнки (відношення валового прибутку до собівартості товарів) при продажу незалежним дистриб’юторам складає 25%. Собівартість становить 15000 грн. Розрахувати трансфертні ціни продажу товарів у Компанії В за методом</w:t>
      </w:r>
      <w:r w:rsidRPr="00FA61CF">
        <w:rPr>
          <w:b/>
          <w:sz w:val="28"/>
          <w:szCs w:val="28"/>
          <w:lang w:val="uk-UA"/>
        </w:rPr>
        <w:t xml:space="preserve"> «витрати плюс».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Трансфертна ціна = Собівартість × (100 + 25) ÷ 100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Трансфертна ціна = 15000 × (100 + 25) ÷ 100=18,75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0"/>
          <w:lang w:val="uk-UA"/>
        </w:rPr>
      </w:pPr>
    </w:p>
    <w:p w:rsidR="00B52CDA" w:rsidRPr="00C44C50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3.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У якості показника прибутковості обрано рентабельність продажів (відношення операційного прибутку до чистого доходу від реалізації).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Рентабельність продажів у контрольованих операціях (</w:t>
      </w:r>
      <w:proofErr w:type="spellStart"/>
      <w:r w:rsidRPr="00FA61CF">
        <w:rPr>
          <w:sz w:val="28"/>
          <w:szCs w:val="28"/>
          <w:lang w:val="uk-UA"/>
        </w:rPr>
        <w:t>РПк</w:t>
      </w:r>
      <w:proofErr w:type="spellEnd"/>
      <w:r w:rsidRPr="00FA61CF">
        <w:rPr>
          <w:sz w:val="28"/>
          <w:szCs w:val="28"/>
          <w:lang w:val="uk-UA"/>
        </w:rPr>
        <w:t xml:space="preserve">) складає 3%, тоді як середня рентабельність продажів у </w:t>
      </w:r>
      <w:proofErr w:type="spellStart"/>
      <w:r w:rsidRPr="00FA61CF">
        <w:rPr>
          <w:sz w:val="28"/>
          <w:szCs w:val="28"/>
          <w:lang w:val="uk-UA"/>
        </w:rPr>
        <w:t>співставних</w:t>
      </w:r>
      <w:proofErr w:type="spellEnd"/>
      <w:r w:rsidRPr="00FA61CF">
        <w:rPr>
          <w:sz w:val="28"/>
          <w:szCs w:val="28"/>
          <w:lang w:val="uk-UA"/>
        </w:rPr>
        <w:t xml:space="preserve"> неконтрольованих операціях (</w:t>
      </w:r>
      <w:proofErr w:type="spellStart"/>
      <w:r w:rsidRPr="00FA61CF">
        <w:rPr>
          <w:sz w:val="28"/>
          <w:szCs w:val="28"/>
          <w:lang w:val="uk-UA"/>
        </w:rPr>
        <w:t>РПн</w:t>
      </w:r>
      <w:proofErr w:type="spellEnd"/>
      <w:r w:rsidRPr="00FA61CF">
        <w:rPr>
          <w:sz w:val="28"/>
          <w:szCs w:val="28"/>
          <w:lang w:val="uk-UA"/>
        </w:rPr>
        <w:t xml:space="preserve">) дорівнює 5%. Чистий доход за звітний період від продажу пов’язаним особам до коригування (ЧД) складає 100 млн. грн. розрахувати суму коригування (збільшення) оподатковуваного прибутку за методом </w:t>
      </w:r>
      <w:r w:rsidRPr="00FA61CF">
        <w:rPr>
          <w:b/>
          <w:sz w:val="28"/>
          <w:szCs w:val="28"/>
          <w:lang w:val="uk-UA"/>
        </w:rPr>
        <w:t>чистого прибутку</w:t>
      </w:r>
      <w:r w:rsidRPr="00FA61CF">
        <w:rPr>
          <w:sz w:val="28"/>
          <w:szCs w:val="28"/>
          <w:lang w:val="uk-UA"/>
        </w:rPr>
        <w:t>: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lastRenderedPageBreak/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СКЧП = ЧД × (</w:t>
      </w:r>
      <w:proofErr w:type="spellStart"/>
      <w:r w:rsidRPr="00FA61CF">
        <w:rPr>
          <w:sz w:val="28"/>
          <w:szCs w:val="28"/>
          <w:lang w:val="uk-UA"/>
        </w:rPr>
        <w:t>РПн</w:t>
      </w:r>
      <w:proofErr w:type="spellEnd"/>
      <w:r w:rsidRPr="00FA61CF">
        <w:rPr>
          <w:sz w:val="28"/>
          <w:szCs w:val="28"/>
          <w:lang w:val="uk-UA"/>
        </w:rPr>
        <w:t xml:space="preserve"> – </w:t>
      </w:r>
      <w:proofErr w:type="spellStart"/>
      <w:r w:rsidRPr="00FA61CF">
        <w:rPr>
          <w:sz w:val="28"/>
          <w:szCs w:val="28"/>
          <w:lang w:val="uk-UA"/>
        </w:rPr>
        <w:t>РПк</w:t>
      </w:r>
      <w:proofErr w:type="spellEnd"/>
      <w:r w:rsidRPr="00FA61CF">
        <w:rPr>
          <w:sz w:val="28"/>
          <w:szCs w:val="28"/>
          <w:lang w:val="uk-UA"/>
        </w:rPr>
        <w:t>) ÷ 100 = 100 млн. × (5 – 3) ÷ 100 = 2 млн. грн.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З метою оподаткування чистий прибуток має бути скоригований, виходячи з рентабельності продажів у неконтрольованих операціях. 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0"/>
          <w:lang w:val="uk-UA"/>
        </w:rPr>
      </w:pPr>
    </w:p>
    <w:p w:rsidR="00B52CDA" w:rsidRPr="00C44C50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4.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На підприємстві при повному завантаженні виробнича потужність складає 1000 од., фактичний обсяг продажу 1000 од., ціна за одиницю 5 </w:t>
      </w:r>
      <w:proofErr w:type="spellStart"/>
      <w:r w:rsidRPr="00FA61CF">
        <w:rPr>
          <w:sz w:val="28"/>
          <w:szCs w:val="28"/>
          <w:lang w:val="uk-UA"/>
        </w:rPr>
        <w:t>у.о</w:t>
      </w:r>
      <w:proofErr w:type="spellEnd"/>
      <w:r w:rsidRPr="00FA61CF">
        <w:rPr>
          <w:sz w:val="28"/>
          <w:szCs w:val="28"/>
          <w:lang w:val="uk-UA"/>
        </w:rPr>
        <w:t xml:space="preserve">., прямі виробничі витрати на одиницю 2,50 </w:t>
      </w:r>
      <w:proofErr w:type="spellStart"/>
      <w:r w:rsidRPr="00FA61CF">
        <w:rPr>
          <w:sz w:val="28"/>
          <w:szCs w:val="28"/>
          <w:lang w:val="uk-UA"/>
        </w:rPr>
        <w:t>у.о</w:t>
      </w:r>
      <w:proofErr w:type="spellEnd"/>
      <w:r w:rsidRPr="00FA61CF">
        <w:rPr>
          <w:sz w:val="28"/>
          <w:szCs w:val="28"/>
          <w:lang w:val="uk-UA"/>
        </w:rPr>
        <w:t xml:space="preserve">., накладні виробничі та інші витрати 1000 </w:t>
      </w:r>
      <w:proofErr w:type="spellStart"/>
      <w:r w:rsidRPr="00FA61CF">
        <w:rPr>
          <w:sz w:val="28"/>
          <w:szCs w:val="28"/>
          <w:lang w:val="uk-UA"/>
        </w:rPr>
        <w:t>у.о</w:t>
      </w:r>
      <w:proofErr w:type="spellEnd"/>
      <w:r w:rsidRPr="00FA61CF">
        <w:rPr>
          <w:sz w:val="28"/>
          <w:szCs w:val="28"/>
          <w:lang w:val="uk-UA"/>
        </w:rPr>
        <w:t>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Необхідно порівняти показник рентабельності продажів двох компаній за методом </w:t>
      </w:r>
      <w:r w:rsidRPr="00FA61CF">
        <w:rPr>
          <w:b/>
          <w:sz w:val="28"/>
          <w:szCs w:val="28"/>
          <w:lang w:val="uk-UA"/>
        </w:rPr>
        <w:t xml:space="preserve">чистого прибутку </w:t>
      </w:r>
      <w:r w:rsidRPr="00FA61CF">
        <w:rPr>
          <w:sz w:val="28"/>
          <w:szCs w:val="28"/>
          <w:lang w:val="uk-UA"/>
        </w:rPr>
        <w:t>(трансферне ціноутворення), виробничі потужності однієї з яких завантажені повністю, тоді як іншої – на 50 відсотків.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7.1 – Розрахунок рентабельності продажів двох компаній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127"/>
        <w:gridCol w:w="2233"/>
      </w:tblGrid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Компанія А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Компанія В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Виробнича потужність, одиниць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Фактичний обсяг продажу, одиниць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500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Ціна за одиницю,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5,00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5,00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Доход від продажу,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2500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Прямі виробничі витрати на одиницю,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2,50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2,50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Всього виробничі витрати,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2500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1250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Накладні виробничі та інші витрати,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Всього операційні витрати,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2250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Операційний прибуток,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250</w:t>
            </w:r>
          </w:p>
        </w:tc>
      </w:tr>
      <w:tr w:rsidR="00B52CDA" w:rsidRPr="00FA61CF" w:rsidTr="00C86B28">
        <w:tc>
          <w:tcPr>
            <w:tcW w:w="5211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Рентабельність продажів,%</w:t>
            </w:r>
          </w:p>
        </w:tc>
        <w:tc>
          <w:tcPr>
            <w:tcW w:w="2127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2233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10,0</w:t>
            </w:r>
          </w:p>
        </w:tc>
      </w:tr>
    </w:tbl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16"/>
          <w:szCs w:val="16"/>
          <w:lang w:val="uk-UA"/>
        </w:rPr>
      </w:pP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Як бачимо, навіть за відсутності інших відмінностей, внаслідок різного ступеня завантаження виробничих потужностей показники операційної прибутковості двох компаній відрізняються втричі.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18"/>
          <w:szCs w:val="18"/>
          <w:lang w:val="uk-UA"/>
        </w:rPr>
      </w:pPr>
    </w:p>
    <w:p w:rsidR="00B52CDA" w:rsidRPr="00C44C50" w:rsidRDefault="00B52CDA" w:rsidP="00B52CDA">
      <w:pPr>
        <w:widowControl w:val="0"/>
        <w:spacing w:line="223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5.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18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Рентабельність продажу у контрольованих операціях Компанії А складає 25 відсотків. Показники діяльності Компанії А щодо доходу від продажу, собівартості продажу та операційних витрат щоквартально за звітний період надані у таблиці 7.2.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8"/>
          <w:szCs w:val="8"/>
          <w:lang w:val="uk-UA"/>
        </w:rPr>
      </w:pP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7.2 - Дані про операції Компанії А з незалежними сторонами за звітний рік.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75"/>
        <w:gridCol w:w="1276"/>
        <w:gridCol w:w="1276"/>
        <w:gridCol w:w="1276"/>
        <w:gridCol w:w="1099"/>
      </w:tblGrid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 квартал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 квартал</w:t>
            </w:r>
          </w:p>
        </w:tc>
        <w:tc>
          <w:tcPr>
            <w:tcW w:w="109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За рік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Дох</w:t>
            </w:r>
            <w:r w:rsidRPr="00FA61CF">
              <w:rPr>
                <w:rStyle w:val="a3"/>
                <w:sz w:val="26"/>
                <w:szCs w:val="26"/>
                <w:lang w:val="uk-UA"/>
              </w:rPr>
              <w:t>о</w:t>
            </w:r>
            <w:r w:rsidRPr="00FA61CF">
              <w:rPr>
                <w:sz w:val="26"/>
                <w:szCs w:val="26"/>
                <w:lang w:val="uk-UA"/>
              </w:rPr>
              <w:t xml:space="preserve">д від продажу,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7500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12000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9000</w:t>
            </w:r>
          </w:p>
        </w:tc>
        <w:tc>
          <w:tcPr>
            <w:tcW w:w="1099" w:type="dxa"/>
            <w:vAlign w:val="bottom"/>
          </w:tcPr>
          <w:p w:rsidR="00B52CDA" w:rsidRPr="00FA61CF" w:rsidRDefault="00B52CDA" w:rsidP="00C86B28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FA61CF">
              <w:rPr>
                <w:color w:val="000000"/>
                <w:sz w:val="26"/>
                <w:szCs w:val="26"/>
                <w:lang w:val="uk-UA"/>
              </w:rPr>
              <w:t>38500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Собівартість продажів,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3750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4800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5520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099" w:type="dxa"/>
            <w:vAlign w:val="bottom"/>
          </w:tcPr>
          <w:p w:rsidR="00B52CDA" w:rsidRPr="00FA61CF" w:rsidRDefault="00B52CDA" w:rsidP="00C86B28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FA61CF">
              <w:rPr>
                <w:color w:val="000000"/>
                <w:sz w:val="26"/>
                <w:szCs w:val="26"/>
                <w:lang w:val="uk-UA"/>
              </w:rPr>
              <w:t>18570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Операційні витрати,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2100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099" w:type="dxa"/>
            <w:vAlign w:val="bottom"/>
          </w:tcPr>
          <w:p w:rsidR="00B52CDA" w:rsidRPr="00FA61CF" w:rsidRDefault="00B52CDA" w:rsidP="00C86B28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FA61CF">
              <w:rPr>
                <w:color w:val="000000"/>
                <w:sz w:val="26"/>
                <w:szCs w:val="26"/>
                <w:lang w:val="uk-UA"/>
              </w:rPr>
              <w:t>8300</w:t>
            </w:r>
          </w:p>
        </w:tc>
      </w:tr>
    </w:tbl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8"/>
          <w:szCs w:val="8"/>
          <w:lang w:val="uk-UA"/>
        </w:rPr>
      </w:pP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Розрахувати діапазон показників прибутковості, у межах якого умови операції вважатимуться такими, що відповідають принципу «витягнутої руки» використовуючи методом </w:t>
      </w:r>
      <w:r w:rsidRPr="00FA61CF">
        <w:rPr>
          <w:b/>
          <w:sz w:val="28"/>
          <w:szCs w:val="28"/>
          <w:lang w:val="uk-UA"/>
        </w:rPr>
        <w:t xml:space="preserve">чистого прибутку </w:t>
      </w:r>
      <w:r w:rsidRPr="00FA61CF">
        <w:rPr>
          <w:sz w:val="28"/>
          <w:szCs w:val="28"/>
          <w:lang w:val="uk-UA"/>
        </w:rPr>
        <w:t xml:space="preserve">(трансферне </w:t>
      </w:r>
      <w:r w:rsidRPr="00FA61CF">
        <w:rPr>
          <w:sz w:val="28"/>
          <w:szCs w:val="28"/>
          <w:lang w:val="uk-UA"/>
        </w:rPr>
        <w:lastRenderedPageBreak/>
        <w:t>ціноутворення). Заповнити таблицю 7.3.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7.3 - Дані про операції Компанії А з незалежними сторонами за звітний рік.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75"/>
        <w:gridCol w:w="1276"/>
        <w:gridCol w:w="1276"/>
        <w:gridCol w:w="1276"/>
        <w:gridCol w:w="1099"/>
      </w:tblGrid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 квартал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 квартал</w:t>
            </w:r>
          </w:p>
        </w:tc>
        <w:tc>
          <w:tcPr>
            <w:tcW w:w="109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За рік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Дох</w:t>
            </w:r>
            <w:r w:rsidRPr="00FA61CF">
              <w:rPr>
                <w:rStyle w:val="a3"/>
                <w:sz w:val="26"/>
                <w:szCs w:val="26"/>
                <w:lang w:val="uk-UA"/>
              </w:rPr>
              <w:t>і</w:t>
            </w:r>
            <w:r w:rsidRPr="00FA61CF">
              <w:rPr>
                <w:sz w:val="26"/>
                <w:szCs w:val="26"/>
                <w:lang w:val="uk-UA"/>
              </w:rPr>
              <w:t xml:space="preserve">д від продажу,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7500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12000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9000</w:t>
            </w:r>
          </w:p>
        </w:tc>
        <w:tc>
          <w:tcPr>
            <w:tcW w:w="109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38500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Собівартість продажів,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3750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4800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5520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09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18570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Операційні витрати,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2100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09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8300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Операційний прибуток,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у.о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1750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3100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4280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2500</w:t>
            </w:r>
          </w:p>
        </w:tc>
        <w:tc>
          <w:tcPr>
            <w:tcW w:w="109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11630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Рентабельність продажів, %</w:t>
            </w:r>
          </w:p>
        </w:tc>
        <w:tc>
          <w:tcPr>
            <w:tcW w:w="1275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23,3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31,0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35,7</w:t>
            </w:r>
          </w:p>
        </w:tc>
        <w:tc>
          <w:tcPr>
            <w:tcW w:w="1276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27,8</w:t>
            </w:r>
          </w:p>
        </w:tc>
        <w:tc>
          <w:tcPr>
            <w:tcW w:w="109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30,2</w:t>
            </w:r>
          </w:p>
        </w:tc>
      </w:tr>
    </w:tbl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16"/>
          <w:szCs w:val="16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Якщо порівнювати показник прибутковості контрольованої операції 25% з середньорічним показником прибутковості неконтрольованих операцій 30,2%, можна зробити висновок про те, що контрольована операція не відповідає принципу «витягнутої руки». Але якщо застосувати діапазон рентабельності, картина буде іншою.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Діапазон цін (рентабельності) являє собою значення вибірки цін (фінансових показників) порівнянних операцій між нижнім і верхнім </w:t>
      </w:r>
      <w:proofErr w:type="spellStart"/>
      <w:r w:rsidRPr="00FA61CF">
        <w:rPr>
          <w:sz w:val="28"/>
          <w:szCs w:val="28"/>
          <w:lang w:val="uk-UA"/>
        </w:rPr>
        <w:t>квартилем</w:t>
      </w:r>
      <w:proofErr w:type="spellEnd"/>
      <w:r w:rsidRPr="00FA61CF">
        <w:rPr>
          <w:sz w:val="28"/>
          <w:szCs w:val="28"/>
          <w:lang w:val="uk-UA"/>
        </w:rPr>
        <w:t xml:space="preserve"> такого діапазону. Значення нижнього і верхнього </w:t>
      </w:r>
      <w:proofErr w:type="spellStart"/>
      <w:r w:rsidRPr="00FA61CF">
        <w:rPr>
          <w:sz w:val="28"/>
          <w:szCs w:val="28"/>
          <w:lang w:val="uk-UA"/>
        </w:rPr>
        <w:t>квартиля</w:t>
      </w:r>
      <w:proofErr w:type="spellEnd"/>
      <w:r w:rsidRPr="00FA61CF">
        <w:rPr>
          <w:sz w:val="28"/>
          <w:szCs w:val="28"/>
          <w:lang w:val="uk-UA"/>
        </w:rPr>
        <w:t xml:space="preserve"> є мінімальним і максимальним значенням діапазону цін (рентабельності).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A61CF">
        <w:rPr>
          <w:sz w:val="28"/>
          <w:szCs w:val="28"/>
          <w:lang w:val="uk-UA"/>
        </w:rPr>
        <w:t>Квартилі</w:t>
      </w:r>
      <w:proofErr w:type="spellEnd"/>
      <w:r w:rsidRPr="00FA61CF">
        <w:rPr>
          <w:sz w:val="28"/>
          <w:szCs w:val="28"/>
          <w:lang w:val="uk-UA"/>
        </w:rPr>
        <w:t xml:space="preserve"> є величинами, що ділять вибірку даних на чотири групи, що містять (по можливості) однакові кількості спостережень. </w:t>
      </w:r>
      <w:proofErr w:type="spellStart"/>
      <w:r w:rsidRPr="00FA61CF">
        <w:rPr>
          <w:sz w:val="28"/>
          <w:szCs w:val="28"/>
          <w:lang w:val="uk-UA"/>
        </w:rPr>
        <w:t>Квартилі</w:t>
      </w:r>
      <w:proofErr w:type="spellEnd"/>
      <w:r w:rsidRPr="00FA61CF">
        <w:rPr>
          <w:sz w:val="28"/>
          <w:szCs w:val="28"/>
          <w:lang w:val="uk-UA"/>
        </w:rPr>
        <w:t xml:space="preserve"> – це перші, другі, треті і четверті 25% спостережуваних значень змінної в емпіричному статичному розподілі або четверта частина усієї сукупності даних вибірки, поданої у вигляді варіаційного ряду.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Граничними значеннями ринкового діапазону рентабельності будуть значення нижнього та верхнього </w:t>
      </w:r>
      <w:proofErr w:type="spellStart"/>
      <w:r w:rsidRPr="00FA61CF">
        <w:rPr>
          <w:sz w:val="28"/>
          <w:szCs w:val="28"/>
          <w:lang w:val="uk-UA"/>
        </w:rPr>
        <w:t>квартилей</w:t>
      </w:r>
      <w:proofErr w:type="spellEnd"/>
      <w:r w:rsidRPr="00FA61CF">
        <w:rPr>
          <w:sz w:val="28"/>
          <w:szCs w:val="28"/>
          <w:lang w:val="uk-UA"/>
        </w:rPr>
        <w:t xml:space="preserve"> , а саме: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(23,3+27,8) ÷ 2 = 25,6% та (31,0+35,7) ÷ 2 = 33,3%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Отже, показник рентабельності контрольованої операції знаходиться у межах ринкового діапазону.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C44C50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6.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Поясніть, якою повинна бути назва офшорної компанії. 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</w:t>
      </w:r>
      <w:r>
        <w:rPr>
          <w:i/>
          <w:sz w:val="28"/>
          <w:szCs w:val="28"/>
          <w:lang w:val="uk-UA"/>
        </w:rPr>
        <w:t>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Не можна реєструвати компанії під ім’ям, яке вже було зареєстровано. Компанії з обмеженою відповідальністю повинні мати в назві посилання на обмежену відповідальність ( LTD , </w:t>
      </w:r>
      <w:proofErr w:type="spellStart"/>
      <w:r w:rsidRPr="00FA61CF">
        <w:rPr>
          <w:sz w:val="28"/>
          <w:szCs w:val="28"/>
          <w:lang w:val="uk-UA"/>
        </w:rPr>
        <w:t>Limited</w:t>
      </w:r>
      <w:proofErr w:type="spellEnd"/>
      <w:r w:rsidRPr="00FA61CF">
        <w:rPr>
          <w:sz w:val="28"/>
          <w:szCs w:val="28"/>
          <w:lang w:val="uk-UA"/>
        </w:rPr>
        <w:t xml:space="preserve"> , INC , CORP і пр. )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Не допускається використання в назві слів , що вводять в оману щодо статусу компанії (</w:t>
      </w:r>
      <w:proofErr w:type="spellStart"/>
      <w:r w:rsidRPr="00FA61CF">
        <w:rPr>
          <w:sz w:val="28"/>
          <w:szCs w:val="28"/>
          <w:lang w:val="uk-UA"/>
        </w:rPr>
        <w:t>Bank</w:t>
      </w:r>
      <w:proofErr w:type="spellEnd"/>
      <w:r w:rsidRPr="00FA61CF">
        <w:rPr>
          <w:sz w:val="28"/>
          <w:szCs w:val="28"/>
          <w:lang w:val="uk-UA"/>
        </w:rPr>
        <w:t xml:space="preserve"> , </w:t>
      </w:r>
      <w:proofErr w:type="spellStart"/>
      <w:r w:rsidRPr="00FA61CF">
        <w:rPr>
          <w:sz w:val="28"/>
          <w:szCs w:val="28"/>
          <w:lang w:val="uk-UA"/>
        </w:rPr>
        <w:t>Bankers</w:t>
      </w:r>
      <w:proofErr w:type="spellEnd"/>
      <w:r w:rsidRPr="00FA61CF">
        <w:rPr>
          <w:sz w:val="28"/>
          <w:szCs w:val="28"/>
          <w:lang w:val="uk-UA"/>
        </w:rPr>
        <w:t xml:space="preserve"> , </w:t>
      </w:r>
      <w:proofErr w:type="spellStart"/>
      <w:r w:rsidRPr="00FA61CF">
        <w:rPr>
          <w:sz w:val="28"/>
          <w:szCs w:val="28"/>
          <w:lang w:val="uk-UA"/>
        </w:rPr>
        <w:t>Trust</w:t>
      </w:r>
      <w:proofErr w:type="spellEnd"/>
      <w:r w:rsidRPr="00FA61CF">
        <w:rPr>
          <w:sz w:val="28"/>
          <w:szCs w:val="28"/>
          <w:lang w:val="uk-UA"/>
        </w:rPr>
        <w:t xml:space="preserve"> , </w:t>
      </w:r>
      <w:proofErr w:type="spellStart"/>
      <w:r w:rsidRPr="00FA61CF">
        <w:rPr>
          <w:sz w:val="28"/>
          <w:szCs w:val="28"/>
          <w:lang w:val="uk-UA"/>
        </w:rPr>
        <w:t>Insurance</w:t>
      </w:r>
      <w:proofErr w:type="spellEnd"/>
      <w:r w:rsidRPr="00FA61CF">
        <w:rPr>
          <w:sz w:val="28"/>
          <w:szCs w:val="28"/>
          <w:lang w:val="uk-UA"/>
        </w:rPr>
        <w:t xml:space="preserve"> , </w:t>
      </w:r>
      <w:proofErr w:type="spellStart"/>
      <w:r w:rsidRPr="00FA61CF">
        <w:rPr>
          <w:sz w:val="28"/>
          <w:szCs w:val="28"/>
          <w:lang w:val="uk-UA"/>
        </w:rPr>
        <w:t>Goverment</w:t>
      </w:r>
      <w:proofErr w:type="spellEnd"/>
      <w:r w:rsidRPr="00FA61CF">
        <w:rPr>
          <w:sz w:val="28"/>
          <w:szCs w:val="28"/>
          <w:lang w:val="uk-UA"/>
        </w:rPr>
        <w:t xml:space="preserve"> , </w:t>
      </w:r>
      <w:proofErr w:type="spellStart"/>
      <w:r w:rsidRPr="00FA61CF">
        <w:rPr>
          <w:sz w:val="28"/>
          <w:szCs w:val="28"/>
          <w:lang w:val="uk-UA"/>
        </w:rPr>
        <w:t>Royal</w:t>
      </w:r>
      <w:proofErr w:type="spellEnd"/>
      <w:r w:rsidRPr="00FA61CF">
        <w:rPr>
          <w:sz w:val="28"/>
          <w:szCs w:val="28"/>
          <w:lang w:val="uk-UA"/>
        </w:rPr>
        <w:t xml:space="preserve"> )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Назва транзитної компанії має бути непоказною і не запам'ятовуватися.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Назва холдингової компанії має бути яскравою і відповідати виду бізнесу.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C44C50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7.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Розташуйте у таблиці 7.4 повну назву організаційної форми офшорних компаній відповідно до їх скороченого варіанту: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компанія зі спеціальною ліцензією;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товариство з обмеженою відповідальністю;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lastRenderedPageBreak/>
        <w:t>- публічні компанії або акціонерні товариства;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партнерство з обмеженою відповідальністю.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18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</w:t>
      </w:r>
      <w:r>
        <w:rPr>
          <w:i/>
          <w:sz w:val="28"/>
          <w:szCs w:val="28"/>
          <w:lang w:val="uk-UA"/>
        </w:rPr>
        <w:t>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8"/>
          <w:szCs w:val="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Таблиця 7.4 - Організаційні форми офшорних компаній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186"/>
        <w:gridCol w:w="3828"/>
      </w:tblGrid>
      <w:tr w:rsidR="00B52CDA" w:rsidRPr="00FA61CF" w:rsidTr="00C86B28">
        <w:tc>
          <w:tcPr>
            <w:tcW w:w="484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5186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Повна назва організаційної форми</w:t>
            </w:r>
          </w:p>
        </w:tc>
        <w:tc>
          <w:tcPr>
            <w:tcW w:w="3828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Скорочена назва організаційної форми</w:t>
            </w:r>
          </w:p>
        </w:tc>
      </w:tr>
      <w:tr w:rsidR="00B52CDA" w:rsidRPr="00FA61CF" w:rsidTr="00C86B28">
        <w:tc>
          <w:tcPr>
            <w:tcW w:w="484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186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товариство з обмеженою відповідальністю</w:t>
            </w:r>
          </w:p>
        </w:tc>
        <w:tc>
          <w:tcPr>
            <w:tcW w:w="3828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LTD, LIMITED, LLC, INC, IBC, CORPORATION,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Gmbx</w:t>
            </w:r>
            <w:proofErr w:type="spellEnd"/>
          </w:p>
        </w:tc>
      </w:tr>
      <w:tr w:rsidR="00B52CDA" w:rsidRPr="00FA61CF" w:rsidTr="00C86B28">
        <w:tc>
          <w:tcPr>
            <w:tcW w:w="484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186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партнерство з обмеженою відповідальністю </w:t>
            </w:r>
          </w:p>
        </w:tc>
        <w:tc>
          <w:tcPr>
            <w:tcW w:w="3828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LLP, PARTNERSHIP</w:t>
            </w:r>
          </w:p>
        </w:tc>
      </w:tr>
      <w:tr w:rsidR="00B52CDA" w:rsidRPr="00FA61CF" w:rsidTr="00C86B28">
        <w:tc>
          <w:tcPr>
            <w:tcW w:w="484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186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компанія зі спеціальною ліцензією</w:t>
            </w:r>
          </w:p>
        </w:tc>
        <w:tc>
          <w:tcPr>
            <w:tcW w:w="3828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CSL (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Company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Special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Lasince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 xml:space="preserve"> )</w:t>
            </w:r>
          </w:p>
        </w:tc>
      </w:tr>
      <w:tr w:rsidR="00B52CDA" w:rsidRPr="00FA61CF" w:rsidTr="00C86B28">
        <w:tc>
          <w:tcPr>
            <w:tcW w:w="484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186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публічні компанії або акціонерні товариства</w:t>
            </w:r>
          </w:p>
        </w:tc>
        <w:tc>
          <w:tcPr>
            <w:tcW w:w="3828" w:type="dxa"/>
          </w:tcPr>
          <w:p w:rsidR="00B52CDA" w:rsidRPr="00FA61CF" w:rsidRDefault="00B52CDA" w:rsidP="00C86B28">
            <w:pPr>
              <w:widowControl w:val="0"/>
              <w:spacing w:line="223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PLC, AG, BV, SA</w:t>
            </w:r>
          </w:p>
        </w:tc>
      </w:tr>
    </w:tbl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C44C50" w:rsidRDefault="00B52CDA" w:rsidP="00B52CDA">
      <w:pPr>
        <w:widowControl w:val="0"/>
        <w:spacing w:line="223" w:lineRule="auto"/>
        <w:ind w:firstLine="709"/>
        <w:jc w:val="both"/>
        <w:rPr>
          <w:b/>
          <w:sz w:val="28"/>
          <w:szCs w:val="26"/>
          <w:lang w:val="uk-UA"/>
        </w:rPr>
      </w:pPr>
      <w:r w:rsidRPr="00C44C50">
        <w:rPr>
          <w:b/>
          <w:sz w:val="28"/>
          <w:szCs w:val="26"/>
          <w:lang w:val="uk-UA"/>
        </w:rPr>
        <w:t>Завдання 8.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Розташуйте у таблиці 7.5 назву офшорної країни та характеристику офшорної групи, до якої вона відноситься, у певній відповідності: Великобританія, Панама, Кіпр, Швейцарія, Гібралтар, Британські Віргінські Острови, Гонконг,</w:t>
      </w:r>
      <w:r w:rsidRPr="00FA61CF">
        <w:rPr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>Сейшельські острови, Данія, Австрія, Нідерланди, Беліз,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i/>
          <w:sz w:val="28"/>
          <w:szCs w:val="28"/>
          <w:lang w:val="uk-UA"/>
        </w:rPr>
      </w:pP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7.5 - Офшорні країни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B52CDA" w:rsidRPr="00FA61CF" w:rsidTr="00C86B28">
        <w:tc>
          <w:tcPr>
            <w:tcW w:w="3369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Назва країни</w:t>
            </w:r>
          </w:p>
        </w:tc>
        <w:tc>
          <w:tcPr>
            <w:tcW w:w="6202" w:type="dxa"/>
            <w:vAlign w:val="center"/>
          </w:tcPr>
          <w:p w:rsidR="00B52CDA" w:rsidRPr="00FA61CF" w:rsidRDefault="00B52CDA" w:rsidP="00C86B28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Офшорна група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Панама, Беліз, Британські Віргінські Острови, Сейшельські Острови</w:t>
            </w:r>
          </w:p>
        </w:tc>
        <w:tc>
          <w:tcPr>
            <w:tcW w:w="6202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це класичні офшорні країни, де компанії звільнені від оподаткування, проходження аудиту і здавання будь-якої звітності. Застосовуються як правило в торговельній діяльності та побудові інших схем для забезпечення конфіденційності володіння активами.</w:t>
            </w:r>
          </w:p>
        </w:tc>
      </w:tr>
      <w:tr w:rsidR="00B52CDA" w:rsidRPr="00FA61CF" w:rsidTr="00C86B28">
        <w:tc>
          <w:tcPr>
            <w:tcW w:w="3369" w:type="dxa"/>
          </w:tcPr>
          <w:p w:rsidR="00B52CDA" w:rsidRPr="00FA61CF" w:rsidRDefault="00B52CDA" w:rsidP="00C86B28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Великобританія, Кіпр, Швейцарія, Гібралтар, Гонконг, Данія, Австрія, Нідерланди</w:t>
            </w:r>
          </w:p>
        </w:tc>
        <w:tc>
          <w:tcPr>
            <w:tcW w:w="6202" w:type="dxa"/>
          </w:tcPr>
          <w:p w:rsidR="00B52CDA" w:rsidRPr="00FA61CF" w:rsidRDefault="00B52CDA" w:rsidP="00C86B28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Умовно-офшорні юрисдикції. Це країни, в нормативній базі яких містяться податкові правила, при дотриманні яких компанія звільняється від оподаткування або сплачує податок за пільговими ставками, проходить аудиторську перевірку, здає звітність, при необхідності платить податки.</w:t>
            </w:r>
          </w:p>
        </w:tc>
      </w:tr>
    </w:tbl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B941E1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B941E1">
        <w:rPr>
          <w:b/>
          <w:sz w:val="28"/>
          <w:szCs w:val="26"/>
          <w:lang w:val="uk-UA"/>
        </w:rPr>
        <w:t>Завдання 9.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Зазначте види діяльності офшорних компаній.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Торгово-посередницька діяльність.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Холдингова діяльність (володіння активами, володіння бізнесом, акціями, облігаціями та іншими цінними паперами ).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Володіння і господарський оборот нематеріальних активів.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Відкриття банківського рахунку та зберігання грошей на рахунку.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Купівля нерухомості та управління нерухомістю.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A61CF">
        <w:rPr>
          <w:sz w:val="28"/>
          <w:szCs w:val="28"/>
          <w:lang w:val="uk-UA"/>
        </w:rPr>
        <w:t>Толінгові</w:t>
      </w:r>
      <w:proofErr w:type="spellEnd"/>
      <w:r w:rsidRPr="00FA61CF">
        <w:rPr>
          <w:sz w:val="28"/>
          <w:szCs w:val="28"/>
          <w:lang w:val="uk-UA"/>
        </w:rPr>
        <w:t xml:space="preserve"> схеми ведення бізнесу (операції з давальницькою сировиною).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Інвестиційна діяльність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Володіння кораблями, яхтами, літаками.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B941E1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B941E1">
        <w:rPr>
          <w:b/>
          <w:sz w:val="28"/>
          <w:szCs w:val="26"/>
          <w:lang w:val="uk-UA"/>
        </w:rPr>
        <w:t>Завдання 10.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Надайте перелік основних вимог до офшорних схем.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18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Офшорна схема повинна логічно вписуватися в концепцію ведення бізнесу і виглядати як його продовження.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Між структурними елементами схеми повинен вестися реальний документообіг , що підтверджує наявність бізнес відносин.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Офшорна компанія повинна мати атрибути реально діючої компанії (віртуальний офіс, поштову адресу, телефон, сайт )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Зміст схеми не повинен бути дорожче користі, яку вона приносить.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Власник повинен представляти модель оподаткування схеми, порядок і процедуру управління, порядок зміни органів управління, строки та механізм підготовки документів, порядок подання звітності.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18"/>
          <w:szCs w:val="18"/>
          <w:lang w:val="uk-UA"/>
        </w:rPr>
      </w:pPr>
    </w:p>
    <w:p w:rsidR="00B52CDA" w:rsidRPr="00B941E1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B941E1">
        <w:rPr>
          <w:b/>
          <w:sz w:val="28"/>
          <w:szCs w:val="26"/>
          <w:lang w:val="uk-UA"/>
        </w:rPr>
        <w:t>Завдання 11.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18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Розглянути особливості та переваги офшорів на </w:t>
      </w:r>
      <w:proofErr w:type="spellStart"/>
      <w:r w:rsidRPr="00FA61CF">
        <w:rPr>
          <w:sz w:val="28"/>
          <w:szCs w:val="28"/>
          <w:lang w:val="uk-UA"/>
        </w:rPr>
        <w:t>Сейшелах</w:t>
      </w:r>
      <w:proofErr w:type="spellEnd"/>
      <w:r w:rsidRPr="00FA61CF">
        <w:rPr>
          <w:sz w:val="28"/>
          <w:szCs w:val="28"/>
          <w:lang w:val="uk-UA"/>
        </w:rPr>
        <w:t>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18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Переваги офшорів на </w:t>
      </w:r>
      <w:proofErr w:type="spellStart"/>
      <w:r w:rsidRPr="00FA61CF">
        <w:rPr>
          <w:sz w:val="28"/>
          <w:szCs w:val="28"/>
          <w:lang w:val="uk-UA"/>
        </w:rPr>
        <w:t>Сейшелах</w:t>
      </w:r>
      <w:proofErr w:type="spellEnd"/>
      <w:r w:rsidRPr="00FA61CF">
        <w:rPr>
          <w:sz w:val="28"/>
          <w:szCs w:val="28"/>
          <w:lang w:val="uk-UA"/>
        </w:rPr>
        <w:t>: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популярність офшорів на </w:t>
      </w:r>
      <w:proofErr w:type="spellStart"/>
      <w:r w:rsidRPr="00FA61CF">
        <w:rPr>
          <w:sz w:val="28"/>
          <w:szCs w:val="28"/>
          <w:lang w:val="uk-UA"/>
        </w:rPr>
        <w:t>Сейшелах</w:t>
      </w:r>
      <w:proofErr w:type="spellEnd"/>
      <w:r w:rsidRPr="00FA61CF">
        <w:rPr>
          <w:sz w:val="28"/>
          <w:szCs w:val="28"/>
          <w:lang w:val="uk-UA"/>
        </w:rPr>
        <w:t xml:space="preserve"> полягає в тому, що тут самий простий і швидкий спосіб реєстрації компанії , на який йде всього 24 години.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Республіка </w:t>
      </w:r>
      <w:proofErr w:type="spellStart"/>
      <w:r w:rsidRPr="00FA61CF">
        <w:rPr>
          <w:sz w:val="28"/>
          <w:szCs w:val="28"/>
          <w:lang w:val="uk-UA"/>
        </w:rPr>
        <w:t>Сейшели</w:t>
      </w:r>
      <w:proofErr w:type="spellEnd"/>
      <w:r w:rsidRPr="00FA61CF">
        <w:rPr>
          <w:sz w:val="28"/>
          <w:szCs w:val="28"/>
          <w:lang w:val="uk-UA"/>
        </w:rPr>
        <w:t xml:space="preserve"> на думку ОЕСР впевнено входить «в білий» список завдяки незалежності від тиску Євросоюзу і США.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законодавство Сейшельської Республіки розроблено на основі запитів фінансових структур, охочих відкрити тут офшори.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на </w:t>
      </w:r>
      <w:proofErr w:type="spellStart"/>
      <w:r w:rsidRPr="00FA61CF">
        <w:rPr>
          <w:sz w:val="28"/>
          <w:szCs w:val="28"/>
          <w:lang w:val="uk-UA"/>
        </w:rPr>
        <w:t>Сейшелах</w:t>
      </w:r>
      <w:proofErr w:type="spellEnd"/>
      <w:r w:rsidRPr="00FA61CF">
        <w:rPr>
          <w:sz w:val="28"/>
          <w:szCs w:val="28"/>
          <w:lang w:val="uk-UA"/>
        </w:rPr>
        <w:t xml:space="preserve"> є можливість зареєструвати компанію зі спеціальними ліцензіями (банківська, страхова, брокерська і т.д.), а також оформити судна та яхти.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Всі ці переваги закономірно призвели до того, що купити офшор на </w:t>
      </w:r>
      <w:proofErr w:type="spellStart"/>
      <w:r w:rsidRPr="00FA61CF">
        <w:rPr>
          <w:sz w:val="28"/>
          <w:szCs w:val="28"/>
          <w:lang w:val="uk-UA"/>
        </w:rPr>
        <w:t>Сейшелах</w:t>
      </w:r>
      <w:proofErr w:type="spellEnd"/>
      <w:r w:rsidRPr="00FA61CF">
        <w:rPr>
          <w:sz w:val="28"/>
          <w:szCs w:val="28"/>
          <w:lang w:val="uk-UA"/>
        </w:rPr>
        <w:t xml:space="preserve"> прагнуть бізнесмени всього світу.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Особливості офшорів на </w:t>
      </w:r>
      <w:proofErr w:type="spellStart"/>
      <w:r w:rsidRPr="00FA61CF">
        <w:rPr>
          <w:sz w:val="28"/>
          <w:szCs w:val="28"/>
          <w:lang w:val="uk-UA"/>
        </w:rPr>
        <w:t>Сейшелах</w:t>
      </w:r>
      <w:proofErr w:type="spellEnd"/>
      <w:r w:rsidRPr="00FA61CF">
        <w:rPr>
          <w:sz w:val="28"/>
          <w:szCs w:val="28"/>
          <w:lang w:val="uk-UA"/>
        </w:rPr>
        <w:t>: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для того , щоб мати IBC на Сейшельських островах , не треба платити податки, але хіба що невеликий збір для видачі ліцензії, що дозволяє здійснювати комерційну діяльність 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не потрібно надання бухгалтерського обліку, аудиту та іншої фінансової звітності;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вимоги до мінімального статутного капіталу зведені до нуля, а акції можуть бути на пред’явника або іменними;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відкриваючи компанію на </w:t>
      </w:r>
      <w:proofErr w:type="spellStart"/>
      <w:r w:rsidRPr="00FA61CF">
        <w:rPr>
          <w:sz w:val="28"/>
          <w:szCs w:val="28"/>
          <w:lang w:val="uk-UA"/>
        </w:rPr>
        <w:t>Сейшелах</w:t>
      </w:r>
      <w:proofErr w:type="spellEnd"/>
      <w:r w:rsidRPr="00FA61CF">
        <w:rPr>
          <w:sz w:val="28"/>
          <w:szCs w:val="28"/>
          <w:lang w:val="uk-UA"/>
        </w:rPr>
        <w:t>, досить наявності одного директора і одного акціонера, що не зобов’язані являтися резидентами Сейшельських островів;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конфіденційність забезпечена тим, що дані про акціонерів ніяк не фігурують у різних публічних реєстрах;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директором може бути будь-яка фізична або юридична особа;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з боку державних структур повністю відсутній контроль валютних рахунків офшорних компаній;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збори директорів і акціонерів компанії можуть проводитися в будь-якій точці світу;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склад директорів, який може змінюватися, необов'язково реєструвати;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lastRenderedPageBreak/>
        <w:t>- IBC може здійснювати будь-який законний бізнес і операції в різній валюті в будь-якій країні;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безпека та конфіденційність офшору досягається тим, що в державному реєстрі зберігається лише статут компанії і її Меморандум;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на території офшору Сейшельських островів існує порядок </w:t>
      </w:r>
      <w:proofErr w:type="spellStart"/>
      <w:r w:rsidRPr="00FA61CF">
        <w:rPr>
          <w:sz w:val="28"/>
          <w:szCs w:val="28"/>
          <w:lang w:val="uk-UA"/>
        </w:rPr>
        <w:t>апостилізації</w:t>
      </w:r>
      <w:proofErr w:type="spellEnd"/>
      <w:r w:rsidRPr="00FA61CF">
        <w:rPr>
          <w:sz w:val="28"/>
          <w:szCs w:val="28"/>
          <w:lang w:val="uk-UA"/>
        </w:rPr>
        <w:t>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офшор в цій країні відрізняється стабільністю і різноманітністю фінансових послуг та інструментів.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0"/>
          <w:szCs w:val="18"/>
          <w:lang w:val="uk-UA"/>
        </w:rPr>
      </w:pPr>
    </w:p>
    <w:p w:rsidR="00B52CDA" w:rsidRPr="00B941E1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B941E1">
        <w:rPr>
          <w:b/>
          <w:sz w:val="28"/>
          <w:szCs w:val="26"/>
          <w:lang w:val="uk-UA"/>
        </w:rPr>
        <w:t>Завдання 12.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Розглянути придбання офшору та переваги, які пропонує офшорна компанія.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18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Організовуючи свою справу, багато бізнесменів приділяють особливу увагу щодо податкового планування, яке, в більшості випадків, передбачає купівлю офшору, в основному з метою зміцнити і розширити власний бізнес. Саме поняття - придбання офшорів, означає оформлення прав та отримання відповідних документів на володіння компанією. Головною перевагою офшорів є те, що їх власники мають можливість зберігати власні грошові кошти за кордоном держави, де вони можуть піддаватися і залежати від різних змін у податковому законодавстві.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Придбання офшору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Вважається за краще купувати вже готові офшори, так звані «поличні компанії», стаючи, таким чином, в найкоротші терміни власником цієї компанії. У такому випадку реєстрація офшору і оформлення всіх необхідних документів здійснюються заздалегідь. У свою чергу, з’являється можливість застосовувати вигідну систему оподаткування, вести бухгалтерську звітність за спрощеною схемою, займаючись при цьому будь-яким видом діяльності.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Однак, придбати офшор не так легко, як здається, адже багато компаній надають списки готових офшорів тільки для своїх клієнтів, роблячи цю інформацію конфіденційною.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Переваги, які пропонує офшорна компанія, наступні: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різко знижується податкове навантаження, тим самим збільшується прибуток , яку можна направити на розвиток бізнесу;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немає вимог подавати контролюючим органам бухгалтерську або фінансову звітність, що значно полегшує введення бізнесу;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офшорна компанія дозволяє зберегти активи в разі різних політичних або економічних потрясінь;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офшорна компанія може забезпечити конфіденційність інформації про її власника, що безпосередньо впливає на рівень безпеки активів такої компанії;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з’являється можливість відкрити дочірні підприємства, а також філії в багатьох країнах світу;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офшорні компанії часто використовуються як інструменти інвестування.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Всі перераховані вище переваги дозволяють впевнено говорити про те, що реєстрація офшорів дозволяє більш вигідно вести свій бізнес, не йдучи врозріз з законодавством. Жорстка конкуренція в сучасному економічному світі робить відкриття офшорів не примхою, а необхідністю. Але, з іншого </w:t>
      </w:r>
      <w:r w:rsidRPr="00FA61CF">
        <w:rPr>
          <w:sz w:val="28"/>
          <w:szCs w:val="28"/>
          <w:lang w:val="uk-UA"/>
        </w:rPr>
        <w:lastRenderedPageBreak/>
        <w:t>боку, необхідно розуміти, що це шлях ухилення від сплати податків за допомогою різних схем, які підкріпленні законодавчо.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18"/>
          <w:lang w:val="uk-UA"/>
        </w:rPr>
      </w:pPr>
    </w:p>
    <w:p w:rsidR="00B52CDA" w:rsidRPr="00B941E1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B941E1">
        <w:rPr>
          <w:b/>
          <w:sz w:val="28"/>
          <w:szCs w:val="26"/>
          <w:lang w:val="uk-UA"/>
        </w:rPr>
        <w:t>Завдання13.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18"/>
          <w:lang w:val="uk-UA"/>
        </w:rPr>
      </w:pP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Розглянути способи переведення в готівку коштів за допомогою кредитної карти в Україні та за кордоном з метою </w:t>
      </w:r>
      <w:r w:rsidRPr="00FA61CF">
        <w:rPr>
          <w:sz w:val="28"/>
          <w:szCs w:val="28"/>
          <w:shd w:val="clear" w:color="auto" w:fill="FFFFFF"/>
          <w:lang w:val="uk-UA"/>
        </w:rPr>
        <w:t>МПП і ефективного використання активів.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Сьогодні кредитні картки користуються великою популярністю, адже вони надають можливість у найкоротші терміни здійснити покупки, якщо на рахунку є необхідна сума.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Ознайомившись з певними правилами, цілком можливо перевести в готівку кредитні кошти. При цьому слід пам’ятати, що за переведення коштів стягується комісія. Найчастіше вона може бути істотною. Це станеться у випадку, коли кредитна карта призначена для безготівкових операцій. Банківська установи при цьому, має право встановити досить високу комісію і одночасно обмежити суму коштів, яку можна буде зняти за певний період часу або за один раз.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Щоб уникнути істотних втрат, слід вивчити банківські ставки, передбачені для клієнтів. Звичайно, при необхідності буде краще використовувати кошти на безготівкові розрахунки, адже це більш вигідно. У цьому випадку можна скористатися пільговим періодом кредитування, при погашенні якого не існує процентних нарахувань на встановлений період (як правило, до 55 днів).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У разі, якщо гроші знадобилися терміново, то краще власнику картки відправитися у відділення банку і звернутися в касу банку. Комісію, при цьому, держатель картки заплатить набагато менше. Досить назвати касиру номер карти і надати паспорт. Якщо такої можливості немає , можна зняти гроші через банкомат , який належить банку, комісія при цьому складе 3%. Якщо кошти з карти будуть переводитися в готівку через банкомат іншої компанії або термінал , комісія зросте приблизно на 1%.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Ще більш вигідним способом переведення в готівку грошей з картки буде прив'язка її до віртуальної платіжній системі. Особливо це зручно при приватному її використанні. Вимоги в цьому випадку - створення свого електронного гаманця. Переказуючи гроші з кредитки на електронний гаманець, переводите їх через сайт на банківський рахунок або на свою дебетову карту. Перевівши гроші з кредитного в електронний стан, ви зможете використовувати їх і іншими способами (оплачувати товари через </w:t>
      </w:r>
      <w:proofErr w:type="spellStart"/>
      <w:r w:rsidRPr="00FA61CF">
        <w:rPr>
          <w:sz w:val="28"/>
          <w:szCs w:val="28"/>
          <w:lang w:val="uk-UA"/>
        </w:rPr>
        <w:t>інтернет</w:t>
      </w:r>
      <w:proofErr w:type="spellEnd"/>
      <w:r w:rsidRPr="00FA61CF">
        <w:rPr>
          <w:sz w:val="28"/>
          <w:szCs w:val="28"/>
          <w:lang w:val="uk-UA"/>
        </w:rPr>
        <w:t>, різні послуги, включаючи комунальні заборгованості та поповнення рахунку мобільного телефону).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При використанні гривневої картки для здійснення розрахунків за кордоном використовується схема конвертації за курсом банку-емітента. Як правило, в безготівковий курс банк вже закладає комісію за конвертацію (зазвичай 1,5-3% від суми). Однак у деяких банків існує комісія крім курсу конвертації, що може призвести до додаткових витрат клієнтів.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Якщо валюта вашого рахунку гривня, а валюта розрахунку, наприклад, тайські </w:t>
      </w:r>
      <w:proofErr w:type="spellStart"/>
      <w:r w:rsidRPr="00FA61CF">
        <w:rPr>
          <w:sz w:val="28"/>
          <w:szCs w:val="28"/>
          <w:lang w:val="uk-UA"/>
        </w:rPr>
        <w:t>бати</w:t>
      </w:r>
      <w:proofErr w:type="spellEnd"/>
      <w:r w:rsidRPr="00FA61CF">
        <w:rPr>
          <w:sz w:val="28"/>
          <w:szCs w:val="28"/>
          <w:lang w:val="uk-UA"/>
        </w:rPr>
        <w:t xml:space="preserve">, то для списання з рахунку спочатку </w:t>
      </w:r>
      <w:proofErr w:type="spellStart"/>
      <w:r w:rsidRPr="00FA61CF">
        <w:rPr>
          <w:sz w:val="28"/>
          <w:szCs w:val="28"/>
          <w:lang w:val="uk-UA"/>
        </w:rPr>
        <w:t>бати</w:t>
      </w:r>
      <w:proofErr w:type="spellEnd"/>
      <w:r w:rsidRPr="00FA61CF">
        <w:rPr>
          <w:sz w:val="28"/>
          <w:szCs w:val="28"/>
          <w:lang w:val="uk-UA"/>
        </w:rPr>
        <w:t xml:space="preserve"> будуть </w:t>
      </w:r>
      <w:proofErr w:type="spellStart"/>
      <w:r w:rsidRPr="00FA61CF">
        <w:rPr>
          <w:sz w:val="28"/>
          <w:szCs w:val="28"/>
          <w:lang w:val="uk-UA"/>
        </w:rPr>
        <w:t>сконвертовані</w:t>
      </w:r>
      <w:proofErr w:type="spellEnd"/>
      <w:r w:rsidRPr="00FA61CF">
        <w:rPr>
          <w:sz w:val="28"/>
          <w:szCs w:val="28"/>
          <w:lang w:val="uk-UA"/>
        </w:rPr>
        <w:t xml:space="preserve"> за курсом платіжних систем в долари США. Потім на дату списання з вашого рахунку (як правило, через 2 дні) ця сума в доларах буде списана з рахунку за </w:t>
      </w:r>
      <w:r w:rsidRPr="00FA61CF">
        <w:rPr>
          <w:sz w:val="28"/>
          <w:szCs w:val="28"/>
          <w:lang w:val="uk-UA"/>
        </w:rPr>
        <w:lastRenderedPageBreak/>
        <w:t>курсом банку на дату списання.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Щоб уникнути максимальної переплати на конвертації, відкриваючи карту в гривні фахівці радять відкривати </w:t>
      </w:r>
      <w:proofErr w:type="spellStart"/>
      <w:r w:rsidRPr="00FA61CF">
        <w:rPr>
          <w:sz w:val="28"/>
          <w:szCs w:val="28"/>
          <w:lang w:val="uk-UA"/>
        </w:rPr>
        <w:t>MasterCard</w:t>
      </w:r>
      <w:proofErr w:type="spellEnd"/>
      <w:r w:rsidRPr="00FA61CF">
        <w:rPr>
          <w:sz w:val="28"/>
          <w:szCs w:val="28"/>
          <w:lang w:val="uk-UA"/>
        </w:rPr>
        <w:t xml:space="preserve"> при подорожах у країни Євросоюзу з валютою євро, оскільки в цьому випадку конвертація проходить безпосередньо з євро в гривню без участі долара.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Хоча можуть бути і винятки, так як така настройка проводиться у кожного банку по-різному, і, відкривши карту </w:t>
      </w:r>
      <w:proofErr w:type="spellStart"/>
      <w:r w:rsidRPr="00FA61CF">
        <w:rPr>
          <w:sz w:val="28"/>
          <w:szCs w:val="28"/>
          <w:lang w:val="uk-UA"/>
        </w:rPr>
        <w:t>MasterCard</w:t>
      </w:r>
      <w:proofErr w:type="spellEnd"/>
      <w:r w:rsidRPr="00FA61CF">
        <w:rPr>
          <w:sz w:val="28"/>
          <w:szCs w:val="28"/>
          <w:lang w:val="uk-UA"/>
        </w:rPr>
        <w:t xml:space="preserve">, де валюта розрахунку з банком долар, ви потрапите на подвійну конвертацію (зняті євро спочатку платіжна система </w:t>
      </w:r>
      <w:proofErr w:type="spellStart"/>
      <w:r w:rsidRPr="00FA61CF">
        <w:rPr>
          <w:sz w:val="28"/>
          <w:szCs w:val="28"/>
          <w:lang w:val="uk-UA"/>
        </w:rPr>
        <w:t>сконвертує</w:t>
      </w:r>
      <w:proofErr w:type="spellEnd"/>
      <w:r w:rsidRPr="00FA61CF">
        <w:rPr>
          <w:sz w:val="28"/>
          <w:szCs w:val="28"/>
          <w:lang w:val="uk-UA"/>
        </w:rPr>
        <w:t xml:space="preserve"> за своїм курсом на долар, а потім ваш банк долар </w:t>
      </w:r>
      <w:proofErr w:type="spellStart"/>
      <w:r w:rsidRPr="00FA61CF">
        <w:rPr>
          <w:sz w:val="28"/>
          <w:szCs w:val="28"/>
          <w:lang w:val="uk-UA"/>
        </w:rPr>
        <w:t>сконвертує</w:t>
      </w:r>
      <w:proofErr w:type="spellEnd"/>
      <w:r w:rsidRPr="00FA61CF">
        <w:rPr>
          <w:sz w:val="28"/>
          <w:szCs w:val="28"/>
          <w:lang w:val="uk-UA"/>
        </w:rPr>
        <w:t xml:space="preserve"> за курсом банку на гривню). Тому в будь-якому випадку цей момент краще уточнити у банку – емітента вашої карти.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Слід також враховувати, що існують обмеження щодо зняття коштів.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B941E1" w:rsidRDefault="00B52CDA" w:rsidP="00B52CDA">
      <w:pPr>
        <w:widowControl w:val="0"/>
        <w:spacing w:line="216" w:lineRule="auto"/>
        <w:ind w:firstLine="709"/>
        <w:jc w:val="both"/>
        <w:rPr>
          <w:b/>
          <w:sz w:val="28"/>
          <w:szCs w:val="26"/>
          <w:lang w:val="uk-UA"/>
        </w:rPr>
      </w:pPr>
      <w:r w:rsidRPr="00B941E1">
        <w:rPr>
          <w:b/>
          <w:sz w:val="28"/>
          <w:szCs w:val="26"/>
          <w:lang w:val="uk-UA"/>
        </w:rPr>
        <w:t>Завдання14.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Надайте основні характеристики офшорних фінансових центрів.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18"/>
          <w:szCs w:val="18"/>
          <w:lang w:val="uk-UA"/>
        </w:rPr>
      </w:pP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Міжнародний валютний фонд визначив такі характеристики офшорних фінансових центрів: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наявність різних фінансових інститутів, створених для роботи з нерезидентами;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наявність зовнішніх пасивів і активів, спрямованих на збагачення місцевої економіки;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низька або нульова податкова ставка, помірне регулювання фінансового сектора, висока ступінь конфіденційності у всіх питаннях банківського обслуговування.</w:t>
      </w:r>
    </w:p>
    <w:p w:rsidR="00B52CDA" w:rsidRPr="00FA61CF" w:rsidRDefault="00B52CDA" w:rsidP="00B52CDA">
      <w:pPr>
        <w:widowControl w:val="0"/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Фахівці різних країн оцінюють офшорні фінансові центри по-різному. Одні вважають, що цим зонам відведено значуще місце в питаннях міжнародної торгівлі та фінансування. Дані юрисдикції позитивно впливають на розвиток ділової сфери, як приватних осіб, так і компаній, адже їм дається можливість звести до мінімуму різні фінансові ризики і легко здійснювати податкове планування. Інші запевняють, що наявність офшорних фінансових світових центрів дозволяє процвітаючим компаніям і приватним особам відмивати гроші і не платити податки. Це в свою чергу підриває авторитет бізнесу в цілому. 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b/>
          <w:sz w:val="20"/>
          <w:szCs w:val="20"/>
          <w:shd w:val="clear" w:color="auto" w:fill="FFFFFF"/>
          <w:lang w:val="uk-UA"/>
        </w:rPr>
      </w:pPr>
    </w:p>
    <w:p w:rsidR="00B52CDA" w:rsidRPr="00B941E1" w:rsidRDefault="00B52CDA" w:rsidP="00B52CDA">
      <w:pPr>
        <w:pStyle w:val="Style71"/>
        <w:spacing w:line="216" w:lineRule="auto"/>
        <w:ind w:firstLine="709"/>
        <w:jc w:val="both"/>
        <w:rPr>
          <w:b/>
          <w:sz w:val="28"/>
          <w:szCs w:val="26"/>
          <w:shd w:val="clear" w:color="auto" w:fill="FFFFFF"/>
          <w:lang w:val="uk-UA"/>
        </w:rPr>
      </w:pPr>
      <w:r w:rsidRPr="00B941E1">
        <w:rPr>
          <w:b/>
          <w:sz w:val="28"/>
          <w:szCs w:val="26"/>
          <w:shd w:val="clear" w:color="auto" w:fill="FFFFFF"/>
          <w:lang w:val="uk-UA"/>
        </w:rPr>
        <w:t>Завдання 15.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b/>
          <w:sz w:val="20"/>
          <w:szCs w:val="20"/>
          <w:shd w:val="clear" w:color="auto" w:fill="FFFFFF"/>
          <w:lang w:val="uk-UA"/>
        </w:rPr>
      </w:pP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Фізична особа є резидентом країни «А», а отримує дохід в Україні у сумі 100 од., при цьому ставка оподаткування в країні «А» становить 13% від оподаткованого доходу, а в Україні стосовно нерезидентів 30 % (данні умовні). Розрахувати суму податку в країні «А» з доходів, отриманих в Україні за наступних умов: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- при використанні в країні «А» системи податкових кредитів»;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- при використанні в країні «А» системи податкових заліків.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i/>
          <w:sz w:val="20"/>
          <w:szCs w:val="20"/>
          <w:shd w:val="clear" w:color="auto" w:fill="FFFFFF"/>
          <w:lang w:val="uk-UA"/>
        </w:rPr>
      </w:pP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A61CF">
        <w:rPr>
          <w:i/>
          <w:sz w:val="28"/>
          <w:szCs w:val="28"/>
          <w:shd w:val="clear" w:color="auto" w:fill="FFFFFF"/>
          <w:lang w:val="uk-UA"/>
        </w:rPr>
        <w:t>Рішення.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b/>
          <w:sz w:val="18"/>
          <w:szCs w:val="1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Одним із механізмів регулювання подвійного оподаткування є система податкових кредитів і заліків.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Система податкових кредитів надає право віднімати суму податків, сплачених за кордоном, від суми податкових зобов’язань. При цьому при </w:t>
      </w:r>
      <w:r w:rsidRPr="00FA61CF">
        <w:rPr>
          <w:sz w:val="28"/>
          <w:szCs w:val="28"/>
          <w:shd w:val="clear" w:color="auto" w:fill="FFFFFF"/>
          <w:lang w:val="uk-UA"/>
        </w:rPr>
        <w:lastRenderedPageBreak/>
        <w:t xml:space="preserve">застосуванні податкового кредиту діє обмеження, яке полягає в тому, що податковий кредит надається на суму сплачених за кордоном податків тільки в межах суми податку, який стягується в країні </w:t>
      </w:r>
      <w:proofErr w:type="spellStart"/>
      <w:r w:rsidRPr="00FA61CF">
        <w:rPr>
          <w:sz w:val="28"/>
          <w:szCs w:val="28"/>
          <w:shd w:val="clear" w:color="auto" w:fill="FFFFFF"/>
          <w:lang w:val="uk-UA"/>
        </w:rPr>
        <w:t>резиденства</w:t>
      </w:r>
      <w:proofErr w:type="spellEnd"/>
      <w:r w:rsidRPr="00FA61CF">
        <w:rPr>
          <w:sz w:val="28"/>
          <w:szCs w:val="28"/>
          <w:shd w:val="clear" w:color="auto" w:fill="FFFFFF"/>
          <w:lang w:val="uk-UA"/>
        </w:rPr>
        <w:t xml:space="preserve"> особи. Якщо податкові ставки за кордоном вищі, то переплата податків не компенсується і платник податків зазнає фінансових втрат.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Припустимо що, в країні «А» використовується система податкових кредитів. Сума податку в країні «А» з доходів, отриманих в Україні при використанні системи податкових кредитів буде розраховуватися таким чином: 100 × 13 % - 100 × 30 % = -17 од., однак оскільки податковий кредит надається тільки у межах суми податку, що підлягає сплаті в країні «А», то 17 од. податку в перерахунок податку країні «А» не підлягають і повернені не будуть. Тобто загальна сума сплаченого податку становитиме 30 од.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Система податкових заліків передбачає, що сума податку, сплачена в іноземній юрисдикції за принципом </w:t>
      </w:r>
      <w:proofErr w:type="spellStart"/>
      <w:r w:rsidRPr="00FA61CF">
        <w:rPr>
          <w:sz w:val="28"/>
          <w:szCs w:val="28"/>
          <w:shd w:val="clear" w:color="auto" w:fill="FFFFFF"/>
          <w:lang w:val="uk-UA"/>
        </w:rPr>
        <w:t>територіальності</w:t>
      </w:r>
      <w:proofErr w:type="spellEnd"/>
      <w:r w:rsidRPr="00FA61CF">
        <w:rPr>
          <w:sz w:val="28"/>
          <w:szCs w:val="28"/>
          <w:shd w:val="clear" w:color="auto" w:fill="FFFFFF"/>
          <w:lang w:val="uk-UA"/>
        </w:rPr>
        <w:t xml:space="preserve"> створення доходів іноземної фізичної/юридичної особи, віднімається при підрахунку оподатковуваного прибутку компанії (доходу фізичної особи) у юрисдикції його </w:t>
      </w:r>
      <w:proofErr w:type="spellStart"/>
      <w:r w:rsidRPr="00FA61CF">
        <w:rPr>
          <w:sz w:val="28"/>
          <w:szCs w:val="28"/>
          <w:shd w:val="clear" w:color="auto" w:fill="FFFFFF"/>
          <w:lang w:val="uk-UA"/>
        </w:rPr>
        <w:t>резиденства</w:t>
      </w:r>
      <w:proofErr w:type="spellEnd"/>
      <w:r w:rsidRPr="00FA61CF">
        <w:rPr>
          <w:sz w:val="28"/>
          <w:szCs w:val="28"/>
          <w:shd w:val="clear" w:color="auto" w:fill="FFFFFF"/>
          <w:lang w:val="uk-UA"/>
        </w:rPr>
        <w:t>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 xml:space="preserve">Наприклад, якщо припустити, що в країні «А» застосовувалася б система податкових заліків, то за даними попереднього прикладу сума податку країні «А» з доходів, отриманих в Україні, розраховувалася б таким чином: (100 - (100 × 30%)) × 13% = 9,1 од. А загальна сума податку, сплаченого в Україні і країні «А» дорівнювала б: 9,1 + 30 = 39,1 од. 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Тобто, система податкових кредитів є більш вигідною, ніж система податкових заліків.</w:t>
      </w:r>
    </w:p>
    <w:p w:rsidR="00B52CDA" w:rsidRPr="00FA61CF" w:rsidRDefault="00B52CDA" w:rsidP="00B52CDA">
      <w:pPr>
        <w:pStyle w:val="Style71"/>
        <w:spacing w:line="216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A61CF">
        <w:rPr>
          <w:sz w:val="28"/>
          <w:szCs w:val="28"/>
          <w:shd w:val="clear" w:color="auto" w:fill="FFFFFF"/>
          <w:lang w:val="uk-UA"/>
        </w:rPr>
        <w:t>В Україні щодо податку на доходи фізичних осіб та податку на прибуток щодо юридичних осіб застосовується система податкових кредитів.</w:t>
      </w:r>
      <w:r w:rsidRPr="00FA61CF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B52CDA" w:rsidRDefault="00B52CDA" w:rsidP="00B52CDA">
      <w:pPr>
        <w:pStyle w:val="Style71"/>
        <w:spacing w:line="216" w:lineRule="auto"/>
        <w:ind w:firstLine="709"/>
        <w:rPr>
          <w:b/>
          <w:sz w:val="28"/>
          <w:szCs w:val="28"/>
          <w:lang w:val="uk-UA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B52CDA"/>
    <w:rsid w:val="00044E39"/>
    <w:rsid w:val="0008392C"/>
    <w:rsid w:val="000B64F8"/>
    <w:rsid w:val="001E35AD"/>
    <w:rsid w:val="00692AC5"/>
    <w:rsid w:val="00A94678"/>
    <w:rsid w:val="00B52CDA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52CDA"/>
    <w:rPr>
      <w:sz w:val="16"/>
      <w:szCs w:val="16"/>
    </w:rPr>
  </w:style>
  <w:style w:type="paragraph" w:customStyle="1" w:styleId="Style71">
    <w:name w:val="Style71"/>
    <w:basedOn w:val="a"/>
    <w:rsid w:val="00B52CDA"/>
    <w:pPr>
      <w:widowControl w:val="0"/>
      <w:autoSpaceDE w:val="0"/>
      <w:autoSpaceDN w:val="0"/>
      <w:adjustRightInd w:val="0"/>
      <w:spacing w:line="462" w:lineRule="exact"/>
    </w:pPr>
  </w:style>
  <w:style w:type="paragraph" w:customStyle="1" w:styleId="Style223">
    <w:name w:val="Style223"/>
    <w:basedOn w:val="a"/>
    <w:rsid w:val="00B52CDA"/>
    <w:pPr>
      <w:widowControl w:val="0"/>
      <w:autoSpaceDE w:val="0"/>
      <w:autoSpaceDN w:val="0"/>
      <w:adjustRightInd w:val="0"/>
      <w:spacing w:line="383" w:lineRule="exact"/>
      <w:ind w:hanging="4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3144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2021-03-27T18:44:00Z</dcterms:created>
  <dcterms:modified xsi:type="dcterms:W3CDTF">2021-03-27T18:45:00Z</dcterms:modified>
</cp:coreProperties>
</file>