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39" w:rsidRPr="00FA61CF" w:rsidRDefault="00A65639" w:rsidP="00A65639">
      <w:pPr>
        <w:pStyle w:val="Style71"/>
        <w:spacing w:line="216" w:lineRule="auto"/>
        <w:ind w:firstLine="709"/>
        <w:rPr>
          <w:b/>
          <w:sz w:val="28"/>
          <w:szCs w:val="28"/>
          <w:lang w:val="uk-UA"/>
        </w:rPr>
      </w:pPr>
    </w:p>
    <w:p w:rsidR="00A65639" w:rsidRPr="00FA61CF" w:rsidRDefault="00A65639" w:rsidP="00A65639">
      <w:pPr>
        <w:pStyle w:val="Style71"/>
        <w:spacing w:line="216" w:lineRule="auto"/>
        <w:ind w:firstLine="709"/>
        <w:rPr>
          <w:b/>
          <w:sz w:val="28"/>
          <w:szCs w:val="28"/>
          <w:lang w:val="uk-UA"/>
        </w:rPr>
      </w:pPr>
      <w:r w:rsidRPr="00FA61CF">
        <w:rPr>
          <w:b/>
          <w:sz w:val="28"/>
          <w:szCs w:val="28"/>
          <w:lang w:val="uk-UA"/>
        </w:rPr>
        <w:t>7.11 Вправи для самостійної роботи.</w:t>
      </w:r>
    </w:p>
    <w:p w:rsidR="00A65639" w:rsidRPr="00FA61CF" w:rsidRDefault="00A65639" w:rsidP="00A65639">
      <w:pPr>
        <w:pStyle w:val="Style71"/>
        <w:spacing w:line="216" w:lineRule="auto"/>
        <w:ind w:firstLine="709"/>
        <w:rPr>
          <w:b/>
          <w:sz w:val="20"/>
          <w:szCs w:val="20"/>
          <w:shd w:val="clear" w:color="auto" w:fill="FFFFFF"/>
          <w:lang w:val="uk-UA"/>
        </w:rPr>
      </w:pPr>
    </w:p>
    <w:p w:rsidR="00A65639" w:rsidRPr="00B941E1" w:rsidRDefault="00A65639" w:rsidP="00A65639">
      <w:pPr>
        <w:pStyle w:val="Style71"/>
        <w:spacing w:line="216" w:lineRule="auto"/>
        <w:ind w:firstLine="709"/>
        <w:jc w:val="both"/>
        <w:rPr>
          <w:b/>
          <w:sz w:val="28"/>
          <w:szCs w:val="26"/>
          <w:shd w:val="clear" w:color="auto" w:fill="FFFFFF"/>
          <w:lang w:val="uk-UA"/>
        </w:rPr>
      </w:pPr>
      <w:r w:rsidRPr="00B941E1">
        <w:rPr>
          <w:b/>
          <w:sz w:val="28"/>
          <w:szCs w:val="26"/>
          <w:shd w:val="clear" w:color="auto" w:fill="FFFFFF"/>
          <w:lang w:val="uk-UA"/>
        </w:rPr>
        <w:t>Вправа 1.</w:t>
      </w:r>
    </w:p>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Здійснити розрахунки за допомогою механізмів регулювання подвійного оподаткування, таких як система податкових кредитів і заліків. Зробити висновки.</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Припустити що, в країні «А» використовується система податкових кредитів. Якщо фізична особа є резидентом в країни «А», а отримує дохід в Україні у сумі 200 од., при цьому ставка оподаткування в країні «А» становить 12% від оподаткованого доходу, а в Україні стосовно нерезидентів 32 % (*данні умовні).</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Якщо припустити, що в країні «А» застосовувалася б система податкових заліків, то якою буде за даними попереднього прикладу сума податку в країні «А» з доходів, отриманих в Україні (*данні умовні).</w:t>
      </w:r>
    </w:p>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B941E1" w:rsidRDefault="00A65639" w:rsidP="00A65639">
      <w:pPr>
        <w:pStyle w:val="Style71"/>
        <w:spacing w:line="216" w:lineRule="auto"/>
        <w:ind w:firstLine="709"/>
        <w:jc w:val="both"/>
        <w:rPr>
          <w:b/>
          <w:sz w:val="32"/>
          <w:szCs w:val="28"/>
          <w:shd w:val="clear" w:color="auto" w:fill="FFFFFF"/>
          <w:lang w:val="uk-UA"/>
        </w:rPr>
      </w:pPr>
      <w:r w:rsidRPr="00B941E1">
        <w:rPr>
          <w:b/>
          <w:sz w:val="28"/>
          <w:szCs w:val="26"/>
          <w:shd w:val="clear" w:color="auto" w:fill="FFFFFF"/>
          <w:lang w:val="uk-UA"/>
        </w:rPr>
        <w:t>Вправа</w:t>
      </w:r>
      <w:r w:rsidRPr="00B941E1">
        <w:rPr>
          <w:b/>
          <w:sz w:val="32"/>
          <w:szCs w:val="28"/>
          <w:shd w:val="clear" w:color="auto" w:fill="FFFFFF"/>
          <w:lang w:val="uk-UA"/>
        </w:rPr>
        <w:t xml:space="preserve"> 2.</w:t>
      </w:r>
    </w:p>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Заповнити таблицю та вказати принципи міжнародного планування, розкрити їх сутність.</w:t>
      </w:r>
    </w:p>
    <w:p w:rsidR="00A65639" w:rsidRPr="00FA61CF" w:rsidRDefault="00A65639" w:rsidP="00A65639">
      <w:pPr>
        <w:pStyle w:val="Style71"/>
        <w:spacing w:line="216" w:lineRule="auto"/>
        <w:ind w:firstLine="709"/>
        <w:jc w:val="both"/>
        <w:rPr>
          <w:sz w:val="8"/>
          <w:szCs w:val="8"/>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Таблиця 7.6 - Принципи міжнародного планування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gridCol w:w="4804"/>
      </w:tblGrid>
      <w:tr w:rsidR="00A65639" w:rsidRPr="00FA61CF" w:rsidTr="00C86B28">
        <w:tc>
          <w:tcPr>
            <w:tcW w:w="4767" w:type="dxa"/>
          </w:tcPr>
          <w:p w:rsidR="00A65639" w:rsidRPr="00FA61CF" w:rsidRDefault="00A65639" w:rsidP="00C86B28">
            <w:pPr>
              <w:pStyle w:val="Style71"/>
              <w:spacing w:line="216" w:lineRule="auto"/>
              <w:jc w:val="center"/>
              <w:rPr>
                <w:sz w:val="26"/>
                <w:szCs w:val="26"/>
                <w:shd w:val="clear" w:color="auto" w:fill="FFFFFF"/>
                <w:lang w:val="uk-UA"/>
              </w:rPr>
            </w:pPr>
            <w:r w:rsidRPr="00FA61CF">
              <w:rPr>
                <w:sz w:val="26"/>
                <w:szCs w:val="26"/>
                <w:shd w:val="clear" w:color="auto" w:fill="FFFFFF"/>
                <w:lang w:val="uk-UA"/>
              </w:rPr>
              <w:t>Принцип</w:t>
            </w:r>
          </w:p>
        </w:tc>
        <w:tc>
          <w:tcPr>
            <w:tcW w:w="4804" w:type="dxa"/>
          </w:tcPr>
          <w:p w:rsidR="00A65639" w:rsidRPr="00FA61CF" w:rsidRDefault="00A65639" w:rsidP="00C86B28">
            <w:pPr>
              <w:pStyle w:val="Style71"/>
              <w:spacing w:line="216" w:lineRule="auto"/>
              <w:jc w:val="center"/>
              <w:rPr>
                <w:sz w:val="26"/>
                <w:szCs w:val="26"/>
                <w:shd w:val="clear" w:color="auto" w:fill="FFFFFF"/>
                <w:lang w:val="uk-UA"/>
              </w:rPr>
            </w:pPr>
            <w:r w:rsidRPr="00FA61CF">
              <w:rPr>
                <w:sz w:val="26"/>
                <w:szCs w:val="26"/>
                <w:shd w:val="clear" w:color="auto" w:fill="FFFFFF"/>
                <w:lang w:val="uk-UA"/>
              </w:rPr>
              <w:t>Характеристика</w:t>
            </w:r>
          </w:p>
        </w:tc>
      </w:tr>
      <w:tr w:rsidR="00A65639" w:rsidRPr="00FA61CF" w:rsidTr="00C86B28">
        <w:tc>
          <w:tcPr>
            <w:tcW w:w="4767" w:type="dxa"/>
          </w:tcPr>
          <w:p w:rsidR="00A65639" w:rsidRPr="00FA61CF" w:rsidRDefault="00A65639" w:rsidP="00C86B28">
            <w:pPr>
              <w:pStyle w:val="Style71"/>
              <w:spacing w:line="216" w:lineRule="auto"/>
              <w:jc w:val="both"/>
              <w:rPr>
                <w:sz w:val="28"/>
                <w:szCs w:val="28"/>
                <w:shd w:val="clear" w:color="auto" w:fill="FFFFFF"/>
                <w:lang w:val="uk-UA"/>
              </w:rPr>
            </w:pPr>
          </w:p>
        </w:tc>
        <w:tc>
          <w:tcPr>
            <w:tcW w:w="4804" w:type="dxa"/>
          </w:tcPr>
          <w:p w:rsidR="00A65639" w:rsidRPr="00FA61CF" w:rsidRDefault="00A65639" w:rsidP="00C86B28">
            <w:pPr>
              <w:pStyle w:val="Style71"/>
              <w:spacing w:line="216" w:lineRule="auto"/>
              <w:jc w:val="both"/>
              <w:rPr>
                <w:sz w:val="28"/>
                <w:szCs w:val="28"/>
                <w:shd w:val="clear" w:color="auto" w:fill="FFFFFF"/>
                <w:lang w:val="uk-UA"/>
              </w:rPr>
            </w:pPr>
          </w:p>
        </w:tc>
      </w:tr>
      <w:tr w:rsidR="00A65639" w:rsidRPr="00FA61CF" w:rsidTr="00C86B28">
        <w:tc>
          <w:tcPr>
            <w:tcW w:w="4767" w:type="dxa"/>
          </w:tcPr>
          <w:p w:rsidR="00A65639" w:rsidRPr="00FA61CF" w:rsidRDefault="00A65639" w:rsidP="00C86B28">
            <w:pPr>
              <w:pStyle w:val="Style71"/>
              <w:spacing w:line="216" w:lineRule="auto"/>
              <w:jc w:val="both"/>
              <w:rPr>
                <w:sz w:val="28"/>
                <w:szCs w:val="28"/>
                <w:shd w:val="clear" w:color="auto" w:fill="FFFFFF"/>
                <w:lang w:val="uk-UA"/>
              </w:rPr>
            </w:pPr>
          </w:p>
        </w:tc>
        <w:tc>
          <w:tcPr>
            <w:tcW w:w="4804" w:type="dxa"/>
          </w:tcPr>
          <w:p w:rsidR="00A65639" w:rsidRPr="00FA61CF" w:rsidRDefault="00A65639" w:rsidP="00C86B28">
            <w:pPr>
              <w:pStyle w:val="Style71"/>
              <w:spacing w:line="216" w:lineRule="auto"/>
              <w:jc w:val="both"/>
              <w:rPr>
                <w:sz w:val="28"/>
                <w:szCs w:val="28"/>
                <w:shd w:val="clear" w:color="auto" w:fill="FFFFFF"/>
                <w:lang w:val="uk-UA"/>
              </w:rPr>
            </w:pPr>
          </w:p>
        </w:tc>
      </w:tr>
      <w:tr w:rsidR="00A65639" w:rsidRPr="00FA61CF" w:rsidTr="00C86B28">
        <w:tc>
          <w:tcPr>
            <w:tcW w:w="4767" w:type="dxa"/>
          </w:tcPr>
          <w:p w:rsidR="00A65639" w:rsidRPr="00FA61CF" w:rsidRDefault="00A65639" w:rsidP="00C86B28">
            <w:pPr>
              <w:pStyle w:val="Style71"/>
              <w:spacing w:line="216" w:lineRule="auto"/>
              <w:jc w:val="both"/>
              <w:rPr>
                <w:sz w:val="28"/>
                <w:szCs w:val="28"/>
                <w:shd w:val="clear" w:color="auto" w:fill="FFFFFF"/>
                <w:lang w:val="uk-UA"/>
              </w:rPr>
            </w:pPr>
          </w:p>
        </w:tc>
        <w:tc>
          <w:tcPr>
            <w:tcW w:w="4804" w:type="dxa"/>
          </w:tcPr>
          <w:p w:rsidR="00A65639" w:rsidRPr="00FA61CF" w:rsidRDefault="00A65639" w:rsidP="00C86B28">
            <w:pPr>
              <w:pStyle w:val="Style71"/>
              <w:spacing w:line="216" w:lineRule="auto"/>
              <w:jc w:val="both"/>
              <w:rPr>
                <w:sz w:val="28"/>
                <w:szCs w:val="28"/>
                <w:shd w:val="clear" w:color="auto" w:fill="FFFFFF"/>
                <w:lang w:val="uk-UA"/>
              </w:rPr>
            </w:pPr>
          </w:p>
        </w:tc>
      </w:tr>
      <w:tr w:rsidR="00A65639" w:rsidRPr="00FA61CF" w:rsidTr="00C86B28">
        <w:tc>
          <w:tcPr>
            <w:tcW w:w="4767" w:type="dxa"/>
          </w:tcPr>
          <w:p w:rsidR="00A65639" w:rsidRPr="00FA61CF" w:rsidRDefault="00A65639" w:rsidP="00C86B28">
            <w:pPr>
              <w:pStyle w:val="Style71"/>
              <w:spacing w:line="216" w:lineRule="auto"/>
              <w:jc w:val="both"/>
              <w:rPr>
                <w:sz w:val="28"/>
                <w:szCs w:val="28"/>
                <w:shd w:val="clear" w:color="auto" w:fill="FFFFFF"/>
                <w:lang w:val="uk-UA"/>
              </w:rPr>
            </w:pPr>
          </w:p>
        </w:tc>
        <w:tc>
          <w:tcPr>
            <w:tcW w:w="4804" w:type="dxa"/>
          </w:tcPr>
          <w:p w:rsidR="00A65639" w:rsidRPr="00FA61CF" w:rsidRDefault="00A65639" w:rsidP="00C86B28">
            <w:pPr>
              <w:pStyle w:val="Style71"/>
              <w:spacing w:line="216" w:lineRule="auto"/>
              <w:jc w:val="both"/>
              <w:rPr>
                <w:sz w:val="28"/>
                <w:szCs w:val="28"/>
                <w:shd w:val="clear" w:color="auto" w:fill="FFFFFF"/>
                <w:lang w:val="uk-UA"/>
              </w:rPr>
            </w:pPr>
          </w:p>
        </w:tc>
      </w:tr>
      <w:tr w:rsidR="00A65639" w:rsidRPr="00FA61CF" w:rsidTr="00C86B28">
        <w:tc>
          <w:tcPr>
            <w:tcW w:w="4767" w:type="dxa"/>
          </w:tcPr>
          <w:p w:rsidR="00A65639" w:rsidRPr="00FA61CF" w:rsidRDefault="00A65639" w:rsidP="00C86B28">
            <w:pPr>
              <w:pStyle w:val="Style71"/>
              <w:spacing w:line="216" w:lineRule="auto"/>
              <w:jc w:val="both"/>
              <w:rPr>
                <w:sz w:val="28"/>
                <w:szCs w:val="28"/>
                <w:shd w:val="clear" w:color="auto" w:fill="FFFFFF"/>
                <w:lang w:val="uk-UA"/>
              </w:rPr>
            </w:pPr>
          </w:p>
        </w:tc>
        <w:tc>
          <w:tcPr>
            <w:tcW w:w="4804" w:type="dxa"/>
          </w:tcPr>
          <w:p w:rsidR="00A65639" w:rsidRPr="00FA61CF" w:rsidRDefault="00A65639" w:rsidP="00C86B28">
            <w:pPr>
              <w:pStyle w:val="Style71"/>
              <w:spacing w:line="216" w:lineRule="auto"/>
              <w:jc w:val="both"/>
              <w:rPr>
                <w:sz w:val="28"/>
                <w:szCs w:val="28"/>
                <w:shd w:val="clear" w:color="auto" w:fill="FFFFFF"/>
                <w:lang w:val="uk-UA"/>
              </w:rPr>
            </w:pPr>
          </w:p>
        </w:tc>
      </w:tr>
    </w:tbl>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B941E1" w:rsidRDefault="00A65639" w:rsidP="00A65639">
      <w:pPr>
        <w:pStyle w:val="Style71"/>
        <w:spacing w:line="216" w:lineRule="auto"/>
        <w:ind w:firstLine="709"/>
        <w:jc w:val="both"/>
        <w:rPr>
          <w:b/>
          <w:sz w:val="28"/>
          <w:szCs w:val="26"/>
          <w:shd w:val="clear" w:color="auto" w:fill="FFFFFF"/>
          <w:lang w:val="uk-UA"/>
        </w:rPr>
      </w:pPr>
      <w:r w:rsidRPr="00B941E1">
        <w:rPr>
          <w:b/>
          <w:sz w:val="28"/>
          <w:szCs w:val="26"/>
          <w:shd w:val="clear" w:color="auto" w:fill="FFFFFF"/>
          <w:lang w:val="uk-UA"/>
        </w:rPr>
        <w:t>Вправа 3.</w:t>
      </w:r>
    </w:p>
    <w:p w:rsidR="00A65639" w:rsidRPr="00B941E1" w:rsidRDefault="00A65639" w:rsidP="00A65639">
      <w:pPr>
        <w:pStyle w:val="Style71"/>
        <w:spacing w:line="216" w:lineRule="auto"/>
        <w:ind w:firstLine="709"/>
        <w:jc w:val="both"/>
        <w:rPr>
          <w:b/>
          <w:sz w:val="22"/>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Існує три основних підходи до формування схем міжнародного податкового планування. Необхідно вірно розташувати у таблиці зазначені характеристики кожного з підходів.</w:t>
      </w:r>
    </w:p>
    <w:p w:rsidR="00A65639" w:rsidRPr="00FA61CF" w:rsidRDefault="00A65639" w:rsidP="00A65639">
      <w:pPr>
        <w:pStyle w:val="Style71"/>
        <w:spacing w:line="216" w:lineRule="auto"/>
        <w:ind w:firstLine="709"/>
        <w:jc w:val="both"/>
        <w:rPr>
          <w:sz w:val="20"/>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 xml:space="preserve">Таблиця 7.7 - Основні підходи до формування схем міжнародного податкового планування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835"/>
      </w:tblGrid>
      <w:tr w:rsidR="00A65639" w:rsidRPr="00FA61CF" w:rsidTr="00C86B28">
        <w:tc>
          <w:tcPr>
            <w:tcW w:w="6345" w:type="dxa"/>
          </w:tcPr>
          <w:p w:rsidR="00A65639" w:rsidRPr="00FA61CF" w:rsidRDefault="00A65639" w:rsidP="00C86B28">
            <w:pPr>
              <w:pStyle w:val="Style71"/>
              <w:spacing w:line="216" w:lineRule="auto"/>
              <w:jc w:val="center"/>
              <w:rPr>
                <w:sz w:val="26"/>
                <w:szCs w:val="26"/>
                <w:shd w:val="clear" w:color="auto" w:fill="FFFFFF"/>
                <w:lang w:val="uk-UA"/>
              </w:rPr>
            </w:pPr>
            <w:r w:rsidRPr="00FA61CF">
              <w:rPr>
                <w:sz w:val="26"/>
                <w:szCs w:val="26"/>
                <w:shd w:val="clear" w:color="auto" w:fill="FFFFFF"/>
                <w:lang w:val="uk-UA"/>
              </w:rPr>
              <w:t>Підхід</w:t>
            </w:r>
          </w:p>
        </w:tc>
        <w:tc>
          <w:tcPr>
            <w:tcW w:w="2835" w:type="dxa"/>
          </w:tcPr>
          <w:p w:rsidR="00A65639" w:rsidRPr="00FA61CF" w:rsidRDefault="00A65639" w:rsidP="00C86B28">
            <w:pPr>
              <w:pStyle w:val="Style71"/>
              <w:spacing w:line="216" w:lineRule="auto"/>
              <w:jc w:val="center"/>
              <w:rPr>
                <w:sz w:val="26"/>
                <w:szCs w:val="26"/>
                <w:shd w:val="clear" w:color="auto" w:fill="FFFFFF"/>
                <w:lang w:val="uk-UA"/>
              </w:rPr>
            </w:pPr>
            <w:r w:rsidRPr="00FA61CF">
              <w:rPr>
                <w:sz w:val="26"/>
                <w:szCs w:val="26"/>
                <w:shd w:val="clear" w:color="auto" w:fill="FFFFFF"/>
                <w:lang w:val="uk-UA"/>
              </w:rPr>
              <w:t>Характеристика</w:t>
            </w:r>
          </w:p>
        </w:tc>
      </w:tr>
      <w:tr w:rsidR="00A65639" w:rsidRPr="00FA61CF" w:rsidTr="00C86B28">
        <w:tc>
          <w:tcPr>
            <w:tcW w:w="6345" w:type="dxa"/>
          </w:tcPr>
          <w:p w:rsidR="00A65639" w:rsidRPr="00FA61CF" w:rsidRDefault="00A65639" w:rsidP="00C86B28">
            <w:pPr>
              <w:pStyle w:val="Style71"/>
              <w:spacing w:line="216" w:lineRule="auto"/>
              <w:jc w:val="both"/>
              <w:rPr>
                <w:sz w:val="26"/>
                <w:szCs w:val="26"/>
                <w:shd w:val="clear" w:color="auto" w:fill="FFFFFF"/>
                <w:lang w:val="uk-UA"/>
              </w:rPr>
            </w:pPr>
            <w:r w:rsidRPr="00FA61CF">
              <w:rPr>
                <w:sz w:val="26"/>
                <w:szCs w:val="26"/>
                <w:shd w:val="clear" w:color="auto" w:fill="FFFFFF"/>
                <w:lang w:val="uk-UA"/>
              </w:rPr>
              <w:t>Різні держави мають різну податкову політику.</w:t>
            </w:r>
          </w:p>
        </w:tc>
        <w:tc>
          <w:tcPr>
            <w:tcW w:w="2835" w:type="dxa"/>
          </w:tcPr>
          <w:p w:rsidR="00A65639" w:rsidRPr="00FA61CF" w:rsidRDefault="00A65639" w:rsidP="00C86B28">
            <w:pPr>
              <w:pStyle w:val="Style71"/>
              <w:spacing w:line="216" w:lineRule="auto"/>
              <w:jc w:val="both"/>
              <w:rPr>
                <w:sz w:val="26"/>
                <w:szCs w:val="26"/>
                <w:shd w:val="clear" w:color="auto" w:fill="FFFFFF"/>
                <w:lang w:val="uk-UA"/>
              </w:rPr>
            </w:pPr>
          </w:p>
        </w:tc>
      </w:tr>
      <w:tr w:rsidR="00A65639" w:rsidRPr="00FA61CF" w:rsidTr="00C86B28">
        <w:tc>
          <w:tcPr>
            <w:tcW w:w="6345" w:type="dxa"/>
          </w:tcPr>
          <w:p w:rsidR="00A65639" w:rsidRPr="00FA61CF" w:rsidRDefault="00A65639" w:rsidP="00C86B28">
            <w:pPr>
              <w:pStyle w:val="Style71"/>
              <w:spacing w:line="216" w:lineRule="auto"/>
              <w:jc w:val="both"/>
              <w:rPr>
                <w:sz w:val="26"/>
                <w:szCs w:val="26"/>
                <w:shd w:val="clear" w:color="auto" w:fill="FFFFFF"/>
                <w:lang w:val="uk-UA"/>
              </w:rPr>
            </w:pPr>
            <w:r w:rsidRPr="00FA61CF">
              <w:rPr>
                <w:sz w:val="26"/>
                <w:szCs w:val="26"/>
                <w:shd w:val="clear" w:color="auto" w:fill="FFFFFF"/>
                <w:lang w:val="uk-UA"/>
              </w:rPr>
              <w:t>Організаційно-правові форми підприємств і підхід до їх регулювання можуть бути різними в різних країнах</w:t>
            </w:r>
          </w:p>
        </w:tc>
        <w:tc>
          <w:tcPr>
            <w:tcW w:w="2835" w:type="dxa"/>
          </w:tcPr>
          <w:p w:rsidR="00A65639" w:rsidRPr="00FA61CF" w:rsidRDefault="00A65639" w:rsidP="00C86B28">
            <w:pPr>
              <w:pStyle w:val="Style71"/>
              <w:spacing w:line="216" w:lineRule="auto"/>
              <w:jc w:val="both"/>
              <w:rPr>
                <w:sz w:val="26"/>
                <w:szCs w:val="26"/>
                <w:shd w:val="clear" w:color="auto" w:fill="FFFFFF"/>
                <w:lang w:val="uk-UA"/>
              </w:rPr>
            </w:pPr>
          </w:p>
        </w:tc>
      </w:tr>
      <w:tr w:rsidR="00A65639" w:rsidRPr="00FA61CF" w:rsidTr="00C86B28">
        <w:tc>
          <w:tcPr>
            <w:tcW w:w="6345" w:type="dxa"/>
          </w:tcPr>
          <w:p w:rsidR="00A65639" w:rsidRPr="00FA61CF" w:rsidRDefault="00A65639" w:rsidP="00C86B28">
            <w:pPr>
              <w:pStyle w:val="Style71"/>
              <w:spacing w:line="216" w:lineRule="auto"/>
              <w:jc w:val="both"/>
              <w:rPr>
                <w:sz w:val="26"/>
                <w:szCs w:val="26"/>
                <w:shd w:val="clear" w:color="auto" w:fill="FFFFFF"/>
                <w:lang w:val="uk-UA"/>
              </w:rPr>
            </w:pPr>
            <w:r w:rsidRPr="00FA61CF">
              <w:rPr>
                <w:sz w:val="26"/>
                <w:szCs w:val="26"/>
                <w:shd w:val="clear" w:color="auto" w:fill="FFFFFF"/>
                <w:lang w:val="uk-UA"/>
              </w:rPr>
              <w:t>Один і той самий дохід в різних державах може обкладатися різними податками.</w:t>
            </w:r>
          </w:p>
        </w:tc>
        <w:tc>
          <w:tcPr>
            <w:tcW w:w="2835" w:type="dxa"/>
          </w:tcPr>
          <w:p w:rsidR="00A65639" w:rsidRPr="00FA61CF" w:rsidRDefault="00A65639" w:rsidP="00C86B28">
            <w:pPr>
              <w:pStyle w:val="Style71"/>
              <w:spacing w:line="216" w:lineRule="auto"/>
              <w:jc w:val="both"/>
              <w:rPr>
                <w:sz w:val="26"/>
                <w:szCs w:val="26"/>
                <w:shd w:val="clear" w:color="auto" w:fill="FFFFFF"/>
                <w:lang w:val="uk-UA"/>
              </w:rPr>
            </w:pPr>
          </w:p>
        </w:tc>
      </w:tr>
    </w:tbl>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FA61CF" w:rsidRDefault="00A65639" w:rsidP="00A65639">
      <w:pPr>
        <w:pStyle w:val="Style71"/>
        <w:spacing w:line="216" w:lineRule="auto"/>
        <w:ind w:firstLine="709"/>
        <w:jc w:val="both"/>
        <w:rPr>
          <w:b/>
          <w:sz w:val="28"/>
          <w:szCs w:val="28"/>
          <w:shd w:val="clear" w:color="auto" w:fill="FFFFFF"/>
          <w:lang w:val="uk-UA"/>
        </w:rPr>
      </w:pPr>
      <w:r w:rsidRPr="00FA61CF">
        <w:rPr>
          <w:b/>
          <w:sz w:val="28"/>
          <w:szCs w:val="28"/>
          <w:shd w:val="clear" w:color="auto" w:fill="FFFFFF"/>
          <w:lang w:val="uk-UA"/>
        </w:rPr>
        <w:t>Характеристики:</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 xml:space="preserve">1. Якщо правильно перекласти один вид доходу в інший і розмістити його в тій державі, де податкова ставка по таким видам доходу менше, можна істотно скоротити податкові витрати. </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 xml:space="preserve">2. податкова політика України відрізняється від податкової політики Китаю і, отримавши один і той самий дохід, Ви заплатите абсолютно різні по сумі податки. Таким чином, цілком логічно розмістити свій дохід, а ще краще офіс з управителем, забезпечивши інфраструктуру свого бізнесу, в тій </w:t>
      </w:r>
      <w:r w:rsidRPr="00FA61CF">
        <w:rPr>
          <w:sz w:val="28"/>
          <w:szCs w:val="28"/>
          <w:shd w:val="clear" w:color="auto" w:fill="FFFFFF"/>
          <w:lang w:val="uk-UA"/>
        </w:rPr>
        <w:lastRenderedPageBreak/>
        <w:t>державі, де податків Ви заплатите менше.</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3. Це дає Вам можливість вибирати ті організаційно-правові форми, які можуть представляти найбільшу податкову вигоду.</w:t>
      </w:r>
    </w:p>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B941E1" w:rsidRDefault="00A65639" w:rsidP="00A65639">
      <w:pPr>
        <w:pStyle w:val="Style71"/>
        <w:spacing w:line="216" w:lineRule="auto"/>
        <w:ind w:firstLine="709"/>
        <w:jc w:val="both"/>
        <w:rPr>
          <w:b/>
          <w:sz w:val="28"/>
          <w:szCs w:val="26"/>
          <w:shd w:val="clear" w:color="auto" w:fill="FFFFFF"/>
          <w:lang w:val="uk-UA"/>
        </w:rPr>
      </w:pPr>
      <w:r w:rsidRPr="00B941E1">
        <w:rPr>
          <w:b/>
          <w:sz w:val="28"/>
          <w:szCs w:val="26"/>
          <w:shd w:val="clear" w:color="auto" w:fill="FFFFFF"/>
          <w:lang w:val="uk-UA"/>
        </w:rPr>
        <w:t>Вправа 4.</w:t>
      </w:r>
    </w:p>
    <w:p w:rsidR="00A65639" w:rsidRPr="00FA61CF" w:rsidRDefault="00A65639" w:rsidP="00A65639">
      <w:pPr>
        <w:pStyle w:val="Style71"/>
        <w:spacing w:line="216" w:lineRule="auto"/>
        <w:ind w:firstLine="709"/>
        <w:jc w:val="both"/>
        <w:rPr>
          <w:b/>
          <w:sz w:val="20"/>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 xml:space="preserve">Як правильно зробити вибір юрисдикції для реєстрації своєї закордонної компанії? Все залежить від цілей, для досягнення яких створюється компанія. Для того щоб зробити правильний вибір, необхідно зрозуміти, чим відрізняються офшорні і не офшорні юрисдикції один від одного. Умовно можна розділити юрисдикції, використовувані в цілях МПП і захисту активів, на три групи: </w:t>
      </w:r>
    </w:p>
    <w:p w:rsidR="00A65639" w:rsidRPr="00FA61CF" w:rsidRDefault="00A65639" w:rsidP="00A65639">
      <w:pPr>
        <w:pStyle w:val="Style71"/>
        <w:numPr>
          <w:ilvl w:val="0"/>
          <w:numId w:val="1"/>
        </w:numPr>
        <w:spacing w:line="216" w:lineRule="auto"/>
        <w:jc w:val="both"/>
        <w:rPr>
          <w:sz w:val="28"/>
          <w:szCs w:val="28"/>
          <w:shd w:val="clear" w:color="auto" w:fill="FFFFFF"/>
          <w:lang w:val="uk-UA"/>
        </w:rPr>
      </w:pPr>
      <w:r w:rsidRPr="00FA61CF">
        <w:rPr>
          <w:sz w:val="28"/>
          <w:szCs w:val="28"/>
          <w:shd w:val="clear" w:color="auto" w:fill="FFFFFF"/>
          <w:lang w:val="uk-UA"/>
        </w:rPr>
        <w:t>класичні офшорні зони, або офшори;</w:t>
      </w:r>
    </w:p>
    <w:p w:rsidR="00A65639" w:rsidRPr="00FA61CF" w:rsidRDefault="00A65639" w:rsidP="00A65639">
      <w:pPr>
        <w:pStyle w:val="Style71"/>
        <w:numPr>
          <w:ilvl w:val="0"/>
          <w:numId w:val="1"/>
        </w:numPr>
        <w:spacing w:line="216" w:lineRule="auto"/>
        <w:jc w:val="both"/>
        <w:rPr>
          <w:sz w:val="28"/>
          <w:szCs w:val="28"/>
          <w:shd w:val="clear" w:color="auto" w:fill="FFFFFF"/>
          <w:lang w:val="uk-UA"/>
        </w:rPr>
      </w:pPr>
      <w:r w:rsidRPr="00FA61CF">
        <w:rPr>
          <w:sz w:val="28"/>
          <w:szCs w:val="28"/>
          <w:shd w:val="clear" w:color="auto" w:fill="FFFFFF"/>
          <w:lang w:val="uk-UA"/>
        </w:rPr>
        <w:t>юрисдикції, де встановлені низькі ставки податків для певних типів компаній;</w:t>
      </w:r>
    </w:p>
    <w:p w:rsidR="00A65639" w:rsidRPr="00FA61CF" w:rsidRDefault="00A65639" w:rsidP="00A65639">
      <w:pPr>
        <w:pStyle w:val="Style71"/>
        <w:numPr>
          <w:ilvl w:val="0"/>
          <w:numId w:val="1"/>
        </w:numPr>
        <w:spacing w:line="216" w:lineRule="auto"/>
        <w:jc w:val="both"/>
        <w:rPr>
          <w:sz w:val="28"/>
          <w:szCs w:val="28"/>
          <w:shd w:val="clear" w:color="auto" w:fill="FFFFFF"/>
          <w:lang w:val="uk-UA"/>
        </w:rPr>
      </w:pPr>
      <w:r w:rsidRPr="00FA61CF">
        <w:rPr>
          <w:sz w:val="28"/>
          <w:szCs w:val="28"/>
          <w:shd w:val="clear" w:color="auto" w:fill="FFFFFF"/>
          <w:lang w:val="uk-UA"/>
        </w:rPr>
        <w:t>юрисдикції, що відрізняються високою респектабельністю.</w:t>
      </w: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Розташуйте вказані юрисдикцій відповідно до їх характеристик</w:t>
      </w:r>
    </w:p>
    <w:p w:rsidR="00A65639" w:rsidRPr="00FA61CF" w:rsidRDefault="00A65639" w:rsidP="00A65639">
      <w:pPr>
        <w:pStyle w:val="Style71"/>
        <w:spacing w:line="216" w:lineRule="auto"/>
        <w:ind w:firstLine="709"/>
        <w:jc w:val="both"/>
        <w:rPr>
          <w:sz w:val="20"/>
          <w:szCs w:val="20"/>
          <w:shd w:val="clear" w:color="auto" w:fill="FFFFFF"/>
          <w:lang w:val="uk-UA"/>
        </w:rPr>
      </w:pPr>
    </w:p>
    <w:p w:rsidR="00A65639" w:rsidRPr="00FA61CF" w:rsidRDefault="00A65639" w:rsidP="00A65639">
      <w:pPr>
        <w:pStyle w:val="Style71"/>
        <w:spacing w:line="216" w:lineRule="auto"/>
        <w:ind w:firstLine="709"/>
        <w:jc w:val="both"/>
        <w:rPr>
          <w:sz w:val="28"/>
          <w:szCs w:val="28"/>
          <w:shd w:val="clear" w:color="auto" w:fill="FFFFFF"/>
          <w:lang w:val="uk-UA"/>
        </w:rPr>
      </w:pPr>
      <w:r w:rsidRPr="00FA61CF">
        <w:rPr>
          <w:sz w:val="28"/>
          <w:szCs w:val="28"/>
          <w:shd w:val="clear" w:color="auto" w:fill="FFFFFF"/>
          <w:lang w:val="uk-UA"/>
        </w:rPr>
        <w:t xml:space="preserve">Таблиця 7.8 - Групи юрисдикцій, які використовуються в цілях МПП і захисту активів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934"/>
        <w:gridCol w:w="6379"/>
      </w:tblGrid>
      <w:tr w:rsidR="00A65639" w:rsidRPr="00FA61CF" w:rsidTr="00C86B28">
        <w:trPr>
          <w:tblHeader/>
        </w:trPr>
        <w:tc>
          <w:tcPr>
            <w:tcW w:w="1151" w:type="dxa"/>
          </w:tcPr>
          <w:p w:rsidR="00A65639" w:rsidRPr="00FA61CF" w:rsidRDefault="00A65639" w:rsidP="00C86B28">
            <w:pPr>
              <w:pStyle w:val="Style71"/>
              <w:spacing w:line="211" w:lineRule="auto"/>
              <w:jc w:val="center"/>
              <w:rPr>
                <w:sz w:val="26"/>
                <w:szCs w:val="26"/>
                <w:shd w:val="clear" w:color="auto" w:fill="FFFFFF"/>
                <w:lang w:val="uk-UA"/>
              </w:rPr>
            </w:pPr>
            <w:r w:rsidRPr="00FA61CF">
              <w:rPr>
                <w:sz w:val="26"/>
                <w:szCs w:val="26"/>
                <w:shd w:val="clear" w:color="auto" w:fill="FFFFFF"/>
                <w:lang w:val="uk-UA"/>
              </w:rPr>
              <w:t>Група</w:t>
            </w:r>
          </w:p>
        </w:tc>
        <w:tc>
          <w:tcPr>
            <w:tcW w:w="1934" w:type="dxa"/>
          </w:tcPr>
          <w:p w:rsidR="00A65639" w:rsidRPr="00FA61CF" w:rsidRDefault="00A65639" w:rsidP="00C86B28">
            <w:pPr>
              <w:pStyle w:val="Style71"/>
              <w:spacing w:line="211" w:lineRule="auto"/>
              <w:jc w:val="center"/>
              <w:rPr>
                <w:sz w:val="26"/>
                <w:szCs w:val="26"/>
                <w:shd w:val="clear" w:color="auto" w:fill="FFFFFF"/>
                <w:lang w:val="uk-UA"/>
              </w:rPr>
            </w:pPr>
            <w:r w:rsidRPr="00FA61CF">
              <w:rPr>
                <w:sz w:val="26"/>
                <w:szCs w:val="26"/>
                <w:shd w:val="clear" w:color="auto" w:fill="FFFFFF"/>
                <w:lang w:val="uk-UA"/>
              </w:rPr>
              <w:t>Юрисдикції</w:t>
            </w:r>
          </w:p>
        </w:tc>
        <w:tc>
          <w:tcPr>
            <w:tcW w:w="6379" w:type="dxa"/>
          </w:tcPr>
          <w:p w:rsidR="00A65639" w:rsidRPr="00FA61CF" w:rsidRDefault="00A65639" w:rsidP="00C86B28">
            <w:pPr>
              <w:pStyle w:val="Style71"/>
              <w:spacing w:line="211" w:lineRule="auto"/>
              <w:jc w:val="center"/>
              <w:rPr>
                <w:sz w:val="26"/>
                <w:szCs w:val="26"/>
                <w:shd w:val="clear" w:color="auto" w:fill="FFFFFF"/>
                <w:lang w:val="uk-UA"/>
              </w:rPr>
            </w:pPr>
            <w:r w:rsidRPr="00FA61CF">
              <w:rPr>
                <w:sz w:val="26"/>
                <w:szCs w:val="26"/>
                <w:shd w:val="clear" w:color="auto" w:fill="FFFFFF"/>
                <w:lang w:val="uk-UA"/>
              </w:rPr>
              <w:t>Характеристика</w:t>
            </w:r>
          </w:p>
        </w:tc>
      </w:tr>
      <w:tr w:rsidR="00A65639" w:rsidRPr="00FA61CF" w:rsidTr="00C86B28">
        <w:tc>
          <w:tcPr>
            <w:tcW w:w="1151"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Перша група</w:t>
            </w:r>
          </w:p>
        </w:tc>
        <w:tc>
          <w:tcPr>
            <w:tcW w:w="1934" w:type="dxa"/>
          </w:tcPr>
          <w:p w:rsidR="00A65639" w:rsidRPr="00FA61CF" w:rsidRDefault="00A65639" w:rsidP="00C86B28">
            <w:pPr>
              <w:pStyle w:val="Style71"/>
              <w:spacing w:line="211" w:lineRule="auto"/>
              <w:jc w:val="both"/>
              <w:rPr>
                <w:sz w:val="26"/>
                <w:szCs w:val="26"/>
                <w:shd w:val="clear" w:color="auto" w:fill="FFFFFF"/>
                <w:lang w:val="uk-UA"/>
              </w:rPr>
            </w:pPr>
          </w:p>
        </w:tc>
        <w:tc>
          <w:tcPr>
            <w:tcW w:w="6379"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 xml:space="preserve">Найчастіше їх зараховують до «офшорів», а зареєстровані в них компанії можуть називати «офшорними», а ще </w:t>
            </w:r>
            <w:proofErr w:type="spellStart"/>
            <w:r w:rsidRPr="00FA61CF">
              <w:rPr>
                <w:sz w:val="26"/>
                <w:szCs w:val="26"/>
                <w:shd w:val="clear" w:color="auto" w:fill="FFFFFF"/>
                <w:lang w:val="uk-UA"/>
              </w:rPr>
              <w:t>нерезидентними</w:t>
            </w:r>
            <w:proofErr w:type="spellEnd"/>
            <w:r w:rsidRPr="00FA61CF">
              <w:rPr>
                <w:sz w:val="26"/>
                <w:szCs w:val="26"/>
                <w:shd w:val="clear" w:color="auto" w:fill="FFFFFF"/>
                <w:lang w:val="uk-UA"/>
              </w:rPr>
              <w:t xml:space="preserve"> (non-</w:t>
            </w:r>
            <w:proofErr w:type="spellStart"/>
            <w:r w:rsidRPr="00FA61CF">
              <w:rPr>
                <w:sz w:val="26"/>
                <w:szCs w:val="26"/>
                <w:shd w:val="clear" w:color="auto" w:fill="FFFFFF"/>
                <w:lang w:val="uk-UA"/>
              </w:rPr>
              <w:t>resident</w:t>
            </w:r>
            <w:proofErr w:type="spellEnd"/>
            <w:r w:rsidRPr="00FA61CF">
              <w:rPr>
                <w:sz w:val="26"/>
                <w:szCs w:val="26"/>
                <w:shd w:val="clear" w:color="auto" w:fill="FFFFFF"/>
                <w:lang w:val="uk-UA"/>
              </w:rPr>
              <w:t>) або звільненими (</w:t>
            </w:r>
            <w:proofErr w:type="spellStart"/>
            <w:r w:rsidRPr="00FA61CF">
              <w:rPr>
                <w:sz w:val="26"/>
                <w:szCs w:val="26"/>
                <w:shd w:val="clear" w:color="auto" w:fill="FFFFFF"/>
                <w:lang w:val="uk-UA"/>
              </w:rPr>
              <w:t>exempt</w:t>
            </w:r>
            <w:proofErr w:type="spellEnd"/>
            <w:r w:rsidRPr="00FA61CF">
              <w:rPr>
                <w:sz w:val="26"/>
                <w:szCs w:val="26"/>
                <w:shd w:val="clear" w:color="auto" w:fill="FFFFFF"/>
                <w:lang w:val="uk-UA"/>
              </w:rPr>
              <w:t>). Як правило, такі держави вимагають від компаній ведення фінансової звітності і в ряді випадків сплати мінімальних податків від своєї діяльності. Найбільш показові приклади таких країн - Кіпр, Нідерландські Антильські Острови, Гібралтар, Гонконг, Ліхтенштейн, Люксембург, Уругвай.</w:t>
            </w:r>
          </w:p>
        </w:tc>
      </w:tr>
      <w:tr w:rsidR="00A65639" w:rsidRPr="00FA61CF" w:rsidTr="00C86B28">
        <w:tc>
          <w:tcPr>
            <w:tcW w:w="1151"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Друга група</w:t>
            </w:r>
          </w:p>
        </w:tc>
        <w:tc>
          <w:tcPr>
            <w:tcW w:w="1934" w:type="dxa"/>
          </w:tcPr>
          <w:p w:rsidR="00A65639" w:rsidRPr="00FA61CF" w:rsidRDefault="00A65639" w:rsidP="00C86B28">
            <w:pPr>
              <w:pStyle w:val="Style71"/>
              <w:spacing w:line="211" w:lineRule="auto"/>
              <w:jc w:val="both"/>
              <w:rPr>
                <w:sz w:val="26"/>
                <w:szCs w:val="26"/>
                <w:shd w:val="clear" w:color="auto" w:fill="FFFFFF"/>
                <w:lang w:val="uk-UA"/>
              </w:rPr>
            </w:pPr>
          </w:p>
        </w:tc>
        <w:tc>
          <w:tcPr>
            <w:tcW w:w="6379"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Вони надають у ряді випадків різні податкові пільги при дотриманні, як правило, певних жорстких умов і жодним чином не є офшорними зонами. Такі юрисдикції в основному вибирають в цілях покращення іміджу свого бізнесу, надання йому великий респектабельності, а також для можливого подальшого виходу на фінансові ринки цих високорозвинених країн. Серед таких країн - Нідерланди, США, Великобританія, Швейцарія.</w:t>
            </w:r>
          </w:p>
        </w:tc>
      </w:tr>
      <w:tr w:rsidR="00A65639" w:rsidRPr="00FA61CF" w:rsidTr="00C86B28">
        <w:tc>
          <w:tcPr>
            <w:tcW w:w="1151"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Третя група</w:t>
            </w:r>
          </w:p>
        </w:tc>
        <w:tc>
          <w:tcPr>
            <w:tcW w:w="1934" w:type="dxa"/>
          </w:tcPr>
          <w:p w:rsidR="00A65639" w:rsidRPr="00FA61CF" w:rsidRDefault="00A65639" w:rsidP="00C86B28">
            <w:pPr>
              <w:pStyle w:val="Style71"/>
              <w:spacing w:line="211" w:lineRule="auto"/>
              <w:jc w:val="both"/>
              <w:rPr>
                <w:sz w:val="26"/>
                <w:szCs w:val="26"/>
                <w:shd w:val="clear" w:color="auto" w:fill="FFFFFF"/>
                <w:lang w:val="uk-UA"/>
              </w:rPr>
            </w:pPr>
          </w:p>
        </w:tc>
        <w:tc>
          <w:tcPr>
            <w:tcW w:w="6379" w:type="dxa"/>
          </w:tcPr>
          <w:p w:rsidR="00A65639" w:rsidRPr="00FA61CF" w:rsidRDefault="00A65639" w:rsidP="00C86B28">
            <w:pPr>
              <w:pStyle w:val="Style71"/>
              <w:spacing w:line="211" w:lineRule="auto"/>
              <w:jc w:val="both"/>
              <w:rPr>
                <w:sz w:val="26"/>
                <w:szCs w:val="26"/>
                <w:shd w:val="clear" w:color="auto" w:fill="FFFFFF"/>
                <w:lang w:val="uk-UA"/>
              </w:rPr>
            </w:pPr>
            <w:r w:rsidRPr="00FA61CF">
              <w:rPr>
                <w:sz w:val="26"/>
                <w:szCs w:val="26"/>
                <w:shd w:val="clear" w:color="auto" w:fill="FFFFFF"/>
                <w:lang w:val="uk-UA"/>
              </w:rPr>
              <w:t>Це країни, які надають зареєстрованим в них офшорним компаніям, які не ведуть діяльність на їх території, повне звільнення від сплати будь-яких податків в обмін на невеликий фіксований щорічний збір та не потребують складання бухгалтерської звітності. Це, як правило, невеликі «острівні» держави. Найбільш відомі серед них Багамські Острови, Британські Віргінські Острови (БВО), Сейшельські Острови, Беліз, Маврикій, Невіс, Панама, Маршаллові Острови.</w:t>
            </w:r>
          </w:p>
        </w:tc>
      </w:tr>
    </w:tbl>
    <w:p w:rsidR="00692AC5" w:rsidRDefault="00692AC5"/>
    <w:sectPr w:rsidR="00692AC5" w:rsidSect="00692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7D2"/>
    <w:multiLevelType w:val="hybridMultilevel"/>
    <w:tmpl w:val="4BE4C25C"/>
    <w:lvl w:ilvl="0" w:tplc="A05A304A">
      <w:start w:val="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08"/>
  <w:characterSpacingControl w:val="doNotCompress"/>
  <w:compat/>
  <w:rsids>
    <w:rsidRoot w:val="00A65639"/>
    <w:rsid w:val="00044E39"/>
    <w:rsid w:val="0008392C"/>
    <w:rsid w:val="000B64F8"/>
    <w:rsid w:val="001E35AD"/>
    <w:rsid w:val="00692AC5"/>
    <w:rsid w:val="00A65639"/>
    <w:rsid w:val="00A94678"/>
    <w:rsid w:val="00C54504"/>
    <w:rsid w:val="00F2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3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1">
    <w:name w:val="Style71"/>
    <w:basedOn w:val="a"/>
    <w:rsid w:val="00A65639"/>
    <w:pPr>
      <w:widowControl w:val="0"/>
      <w:autoSpaceDE w:val="0"/>
      <w:autoSpaceDN w:val="0"/>
      <w:adjustRightInd w:val="0"/>
      <w:spacing w:line="462"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2021-03-27T18:45:00Z</dcterms:created>
  <dcterms:modified xsi:type="dcterms:W3CDTF">2021-03-27T18:46:00Z</dcterms:modified>
</cp:coreProperties>
</file>