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E8" w:rsidRPr="0060174D" w:rsidRDefault="006C1FE8" w:rsidP="0066231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uk-UA" w:eastAsia="ru-RU"/>
        </w:rPr>
      </w:pPr>
      <w:r w:rsidRPr="0060174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uk-UA" w:eastAsia="ru-RU"/>
        </w:rPr>
        <w:t>Лекція 14</w:t>
      </w:r>
    </w:p>
    <w:p w:rsidR="00112D88" w:rsidRPr="0060174D" w:rsidRDefault="00112D88" w:rsidP="0066231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uk-UA" w:eastAsia="ru-RU"/>
        </w:rPr>
      </w:pPr>
    </w:p>
    <w:p w:rsidR="00542F7A" w:rsidRPr="0060174D" w:rsidRDefault="00112D88" w:rsidP="0066231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0174D">
        <w:rPr>
          <w:rFonts w:ascii="Times New Roman" w:hAnsi="Times New Roman" w:cs="Times New Roman"/>
          <w:b/>
          <w:sz w:val="28"/>
          <w:szCs w:val="28"/>
          <w:lang w:val="uk-UA"/>
        </w:rPr>
        <w:t>Однофакторний</w:t>
      </w:r>
      <w:proofErr w:type="spellEnd"/>
      <w:r w:rsidRPr="0060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дисперсійний АНАЛІЗ</w:t>
      </w:r>
    </w:p>
    <w:p w:rsidR="00112D88" w:rsidRPr="0060174D" w:rsidRDefault="00112D88" w:rsidP="0066231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D88" w:rsidRPr="0060174D" w:rsidRDefault="00112D8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Метод дисперсійного аналізу має загальноприйняте позначення ANOVA - короткий написання </w:t>
      </w: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ANALISIS OF VARIANCE. У психологічних дослідженнях найчастіше застосовуються </w:t>
      </w: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однофакторний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ANOVA і </w:t>
      </w: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двохфакторну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ANOVA, рідше інші види дисперсійного аналізу.</w:t>
      </w:r>
    </w:p>
    <w:p w:rsidR="00112D88" w:rsidRPr="0060174D" w:rsidRDefault="00112D8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однофакторного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ANOVA перевіряються статистичні гіпотези про відмінності середніх значень деякої властивості у вибірці, що класифікована за однією основою, так званому одному фактору. Тобто перевіряються статистичні гіпотези про відмінності середніх значень однієї змінної, що має три і більше градацій одного </w:t>
      </w: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D88" w:rsidRPr="0060174D" w:rsidRDefault="00112D8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>Особливості дисперсійного аналізу ANOVA полягають в наступному:</w:t>
      </w:r>
    </w:p>
    <w:p w:rsidR="006C1FE8" w:rsidRPr="0060174D" w:rsidRDefault="006C1FE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12D88" w:rsidRPr="0060174D">
        <w:rPr>
          <w:rFonts w:ascii="Times New Roman" w:hAnsi="Times New Roman" w:cs="Times New Roman"/>
          <w:sz w:val="28"/>
          <w:szCs w:val="28"/>
          <w:lang w:val="uk-UA"/>
        </w:rPr>
        <w:t>змінна (властивість), що порівнюється, повинна бути виміряна в метричній шкалі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C1FE8" w:rsidRPr="0060174D" w:rsidRDefault="006C1FE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12D88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порівнювані вибірки, що відповідають різним градаціях </w:t>
      </w:r>
      <w:proofErr w:type="spellStart"/>
      <w:r w:rsidR="00112D88" w:rsidRPr="0060174D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="00112D88" w:rsidRPr="0060174D">
        <w:rPr>
          <w:rFonts w:ascii="Times New Roman" w:hAnsi="Times New Roman" w:cs="Times New Roman"/>
          <w:sz w:val="28"/>
          <w:szCs w:val="28"/>
          <w:lang w:val="uk-UA"/>
        </w:rPr>
        <w:t>, повинні мало відрізнятися за чисельністю, або стандартні відхилення порівнюваних вибірок відрізняються незначно;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C1FE8" w:rsidRPr="0060174D" w:rsidRDefault="006C1FE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12D88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розподілів частот для кожної градації </w:t>
      </w:r>
      <w:proofErr w:type="spellStart"/>
      <w:r w:rsidR="00112D88" w:rsidRPr="0060174D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="00112D88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нормальному розподілу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D88" w:rsidRPr="0060174D" w:rsidRDefault="00112D8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Однофакторний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дисперсійний аналіз (ANOVA) можна здійснювати за допомогою Excel. Для </w:t>
      </w: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двохфакторну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дисперсійного аналізу (ANOVA) більш ефективно застосувань спеціальних статистичних комп'ютерних програм (STATISTIKA, SPSS та ін.). Тому розглянемо застосування </w:t>
      </w: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однофакторного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методу ANOVA в Excel.</w:t>
      </w:r>
    </w:p>
    <w:p w:rsidR="00112D88" w:rsidRPr="0060174D" w:rsidRDefault="00112D8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Однофакторний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дисперсійний аналіз (ANOVA) використовується для дослідження відмінності середніх значень однієї змінної (властивості) для трьох і більше вибірок, виділених із загальної вибірки шляхом класифікації її за однією основою (одному фактору).</w:t>
      </w:r>
    </w:p>
    <w:p w:rsidR="00112D88" w:rsidRPr="0060174D" w:rsidRDefault="00112D88" w:rsidP="0066231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60174D">
        <w:rPr>
          <w:rFonts w:ascii="Times New Roman" w:hAnsi="Times New Roman" w:cs="Times New Roman"/>
          <w:sz w:val="28"/>
          <w:szCs w:val="28"/>
          <w:lang w:val="uk-UA"/>
        </w:rPr>
        <w:t>однофакторного</w:t>
      </w:r>
      <w:proofErr w:type="spellEnd"/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ANOVA перевіряється гіпотеза Н</w:t>
      </w:r>
      <w:r w:rsidRPr="006017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>: «Середні трьох вибірок статистично значуще не відрізняються». Якщо гіпотеза Н</w:t>
      </w:r>
      <w:r w:rsidRPr="006017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>відхиляється, то приймається гіпотеза Н</w:t>
      </w:r>
      <w:r w:rsidRPr="006017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: «Середні принаймні двох вибірок статистично значимо відрізняються (р 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sym w:font="Symbol" w:char="F0A3"/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:rsidR="0060174D" w:rsidRPr="0060174D" w:rsidRDefault="0060174D" w:rsidP="0066231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FE8" w:rsidRPr="0060174D" w:rsidRDefault="0060174D" w:rsidP="0066231F">
      <w:pPr>
        <w:shd w:val="clear" w:color="auto" w:fill="FFFFFF"/>
        <w:spacing w:after="0" w:line="276" w:lineRule="auto"/>
        <w:ind w:left="-36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вибірок, для яких можна застосувати </w:t>
      </w:r>
      <w:proofErr w:type="spellStart"/>
      <w:r w:rsidRPr="0060174D">
        <w:rPr>
          <w:rFonts w:ascii="Times New Roman" w:hAnsi="Times New Roman" w:cs="Times New Roman"/>
          <w:b/>
          <w:sz w:val="28"/>
          <w:szCs w:val="28"/>
          <w:lang w:val="uk-UA"/>
        </w:rPr>
        <w:t>однофакторний</w:t>
      </w:r>
      <w:proofErr w:type="spellEnd"/>
      <w:r w:rsidRPr="0060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ANOVA</w:t>
      </w:r>
    </w:p>
    <w:p w:rsidR="0060174D" w:rsidRPr="0060174D" w:rsidRDefault="0060174D" w:rsidP="0066231F">
      <w:pPr>
        <w:shd w:val="clear" w:color="auto" w:fill="FFFFFF"/>
        <w:spacing w:after="0" w:line="276" w:lineRule="auto"/>
        <w:ind w:left="-36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FE8" w:rsidRPr="0060174D" w:rsidRDefault="0060174D" w:rsidP="0060174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>Виміряно час читання (в секундах) одного і того ж тексту у респондентів різних вікових груп: до 22 років, від 23 до 26 років, від 27 років. Результати вимірювання представлені в протоколі.</w:t>
      </w:r>
    </w:p>
    <w:p w:rsidR="0060174D" w:rsidRPr="0060174D" w:rsidRDefault="0060174D" w:rsidP="0066231F">
      <w:pPr>
        <w:shd w:val="clear" w:color="auto" w:fill="FFFFFF"/>
        <w:spacing w:after="0" w:line="276" w:lineRule="auto"/>
        <w:ind w:left="-36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12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36"/>
        <w:gridCol w:w="960"/>
        <w:gridCol w:w="960"/>
        <w:gridCol w:w="960"/>
        <w:gridCol w:w="236"/>
        <w:gridCol w:w="960"/>
        <w:gridCol w:w="960"/>
        <w:gridCol w:w="960"/>
      </w:tblGrid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6C1FE8" w:rsidRPr="0060174D" w:rsidTr="0060174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E8" w:rsidRPr="0060174D" w:rsidRDefault="006C1FE8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6C1FE8" w:rsidRPr="0060174D" w:rsidRDefault="006C1FE8" w:rsidP="0066231F">
      <w:pPr>
        <w:shd w:val="clear" w:color="auto" w:fill="FFFFFF"/>
        <w:spacing w:after="0" w:line="276" w:lineRule="auto"/>
        <w:ind w:left="-36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74D" w:rsidRPr="0060174D" w:rsidRDefault="0060174D" w:rsidP="0060174D">
      <w:pPr>
        <w:shd w:val="clear" w:color="auto" w:fill="FFFFFF"/>
        <w:spacing w:after="0" w:line="276" w:lineRule="auto"/>
        <w:ind w:left="-36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Питання, відповідь на який можна знайти за допомогою </w:t>
      </w:r>
      <w:proofErr w:type="spellStart"/>
      <w:r w:rsidRPr="0060174D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однофакторного</w:t>
      </w:r>
      <w:proofErr w:type="spellEnd"/>
      <w:r w:rsidRPr="006017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аналізу</w:t>
      </w:r>
    </w:p>
    <w:p w:rsidR="0060174D" w:rsidRPr="0060174D" w:rsidRDefault="0060174D" w:rsidP="0066231F">
      <w:pPr>
        <w:shd w:val="clear" w:color="auto" w:fill="FFFFFF"/>
        <w:spacing w:after="0" w:line="276" w:lineRule="auto"/>
        <w:ind w:left="-36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F7A" w:rsidRPr="0060174D" w:rsidRDefault="0060174D" w:rsidP="0066231F">
      <w:pPr>
        <w:shd w:val="clear" w:color="auto" w:fill="FFFFFF"/>
        <w:spacing w:after="0" w:line="276" w:lineRule="auto"/>
        <w:ind w:left="-36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>Чи є статистично значущі відмінності часу, витраченого на читання тексту респондентами різних вікових груп: до 22 років, від 23 до 26 років, від 27 років?</w:t>
      </w:r>
    </w:p>
    <w:p w:rsidR="0060174D" w:rsidRPr="0060174D" w:rsidRDefault="0060174D" w:rsidP="0066231F">
      <w:pPr>
        <w:shd w:val="clear" w:color="auto" w:fill="FFFFFF"/>
        <w:spacing w:after="0" w:line="276" w:lineRule="auto"/>
        <w:ind w:left="-360" w:firstLine="567"/>
        <w:jc w:val="center"/>
        <w:rPr>
          <w:rFonts w:ascii="Times New Roman" w:hAnsi="Times New Roman" w:cs="Times New Roman"/>
          <w:b/>
          <w:i/>
          <w:lang w:val="uk-UA"/>
        </w:rPr>
      </w:pPr>
    </w:p>
    <w:p w:rsidR="0060174D" w:rsidRPr="0060174D" w:rsidRDefault="0060174D" w:rsidP="0066231F">
      <w:pPr>
        <w:shd w:val="clear" w:color="auto" w:fill="FFFFFF"/>
        <w:spacing w:after="0" w:line="276" w:lineRule="auto"/>
        <w:ind w:left="-36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Алгоритм </w:t>
      </w:r>
      <w:proofErr w:type="spellStart"/>
      <w:r w:rsidRPr="0060174D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однофакторного</w:t>
      </w:r>
      <w:proofErr w:type="spellEnd"/>
      <w:r w:rsidRPr="006017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ANOVA (Excel)</w:t>
      </w:r>
    </w:p>
    <w:p w:rsidR="0060174D" w:rsidRPr="0060174D" w:rsidRDefault="0060174D" w:rsidP="0066231F">
      <w:pPr>
        <w:shd w:val="clear" w:color="auto" w:fill="FFFFFF"/>
        <w:spacing w:after="0" w:line="276" w:lineRule="auto"/>
        <w:ind w:left="-360" w:firstLine="567"/>
        <w:jc w:val="center"/>
        <w:rPr>
          <w:rFonts w:ascii="Times New Roman" w:hAnsi="Times New Roman" w:cs="Times New Roman"/>
          <w:b/>
          <w:i/>
          <w:lang w:val="uk-UA"/>
        </w:rPr>
      </w:pPr>
    </w:p>
    <w:p w:rsidR="00542F7A" w:rsidRPr="0060174D" w:rsidRDefault="00542F7A" w:rsidP="0066231F">
      <w:pPr>
        <w:shd w:val="clear" w:color="auto" w:fill="FFFFFF"/>
        <w:spacing w:after="0" w:line="276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97F4C"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На окремому аркуші в Excel створюється таблиця, стовпцями якої присвоюються назви відповідні градаціях </w:t>
      </w:r>
      <w:proofErr w:type="spellStart"/>
      <w:r w:rsidR="00697F4C" w:rsidRPr="00697F4C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="00697F4C" w:rsidRPr="00697F4C">
        <w:rPr>
          <w:rFonts w:ascii="Times New Roman" w:hAnsi="Times New Roman" w:cs="Times New Roman"/>
          <w:sz w:val="28"/>
          <w:szCs w:val="28"/>
          <w:lang w:val="uk-UA"/>
        </w:rPr>
        <w:t>. З протоколу в створену таблицю переносяться відповідні значення змінної (виміряної властивості)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F7A" w:rsidRPr="0060174D" w:rsidRDefault="00542F7A" w:rsidP="0066231F">
      <w:pPr>
        <w:shd w:val="clear" w:color="auto" w:fill="FFFFFF"/>
        <w:spacing w:after="0" w:line="276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97F4C" w:rsidRPr="00697F4C">
        <w:rPr>
          <w:rFonts w:ascii="Times New Roman" w:hAnsi="Times New Roman" w:cs="Times New Roman"/>
          <w:sz w:val="28"/>
          <w:szCs w:val="28"/>
          <w:lang w:val="uk-UA"/>
        </w:rPr>
        <w:t>Знайдіть в групі команд Дані команду Аналіз даних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FE8" w:rsidRPr="0060174D" w:rsidRDefault="00697F4C" w:rsidP="0066231F">
      <w:pPr>
        <w:shd w:val="clear" w:color="auto" w:fill="FFFFFF"/>
        <w:spacing w:after="0" w:line="276" w:lineRule="auto"/>
        <w:ind w:left="-36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uk-UA" w:eastAsia="ru-RU"/>
        </w:rPr>
      </w:pPr>
      <w:r w:rsidRPr="00697F4C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немає, тоді:</w:t>
      </w:r>
      <w:r w:rsidR="00542F7A" w:rsidRPr="0060174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C1FE8" w:rsidRPr="0060174D" w:rsidRDefault="006C1FE8" w:rsidP="00697F4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На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вкладке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Файл</w:t>
      </w: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выберите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команду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Параметры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, а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затем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—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категорию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Надстройки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.</w:t>
      </w:r>
    </w:p>
    <w:p w:rsidR="006C1FE8" w:rsidRPr="0060174D" w:rsidRDefault="006C1FE8" w:rsidP="00697F4C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Если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вы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используете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Excel 2007,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нажмите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кнопку </w:t>
      </w:r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Microsoft Office</w:t>
      </w: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r w:rsidRPr="0060174D">
        <w:rPr>
          <w:rFonts w:ascii="Times New Roman" w:eastAsia="Times New Roman" w:hAnsi="Times New Roman" w:cs="Times New Roman"/>
          <w:i/>
          <w:noProof/>
          <w:color w:val="1E1E1E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1" name="Рисунок 1" descr="Изображение кнопки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кнопки Off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 и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выберите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Параметры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Excel.</w:t>
      </w:r>
    </w:p>
    <w:p w:rsidR="006C1FE8" w:rsidRPr="0060174D" w:rsidRDefault="006C1FE8" w:rsidP="00697F4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В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раскрывающемся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списке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Управление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выберите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пункт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Надстройки</w:t>
      </w:r>
      <w:proofErr w:type="spellEnd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 xml:space="preserve"> Excel</w:t>
      </w: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 и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нажмите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кнопку </w:t>
      </w:r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Перейти</w:t>
      </w: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.</w:t>
      </w:r>
    </w:p>
    <w:p w:rsidR="006C1FE8" w:rsidRPr="0060174D" w:rsidRDefault="006C1FE8" w:rsidP="00697F4C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Если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вы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используете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Excel для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Mac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, в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строке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меню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откройте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вкладку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Средства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 и в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раскрывающемся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списке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выберите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пункт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Надстройки</w:t>
      </w:r>
      <w:proofErr w:type="spellEnd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 xml:space="preserve"> для Excel</w:t>
      </w: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.</w:t>
      </w:r>
    </w:p>
    <w:p w:rsidR="006C1FE8" w:rsidRPr="0060174D" w:rsidRDefault="006C1FE8" w:rsidP="00697F4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В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диалоговом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окне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Надстройки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 установите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флажок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 xml:space="preserve">Пакет 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анализа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, а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затем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нажмите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кнопку </w:t>
      </w:r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ОК</w:t>
      </w: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.</w:t>
      </w:r>
    </w:p>
    <w:p w:rsidR="006C1FE8" w:rsidRPr="0060174D" w:rsidRDefault="006C1FE8" w:rsidP="00697F4C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Если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 xml:space="preserve">Пакет 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анализа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 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отсутствует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в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списке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поля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Доступные</w:t>
      </w:r>
      <w:proofErr w:type="spellEnd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надстройки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,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нажмите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кнопку </w:t>
      </w:r>
      <w:proofErr w:type="spellStart"/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Обзор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,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чтобы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выполнить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поиск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.</w:t>
      </w:r>
    </w:p>
    <w:p w:rsidR="006C1FE8" w:rsidRPr="0060174D" w:rsidRDefault="006C1FE8" w:rsidP="00697F4C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Если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выводится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сообщение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о том,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что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пакет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анализа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не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установлен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на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компьютере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,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нажмите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кнопку </w:t>
      </w:r>
      <w:r w:rsidRPr="0060174D">
        <w:rPr>
          <w:rFonts w:ascii="Times New Roman" w:eastAsia="Times New Roman" w:hAnsi="Times New Roman" w:cs="Times New Roman"/>
          <w:b/>
          <w:bCs/>
          <w:i/>
          <w:color w:val="1E1E1E"/>
          <w:sz w:val="24"/>
          <w:szCs w:val="24"/>
          <w:lang w:val="uk-UA" w:eastAsia="ru-RU"/>
        </w:rPr>
        <w:t>Да</w:t>
      </w:r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, </w:t>
      </w:r>
      <w:proofErr w:type="spellStart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>чтобы</w:t>
      </w:r>
      <w:proofErr w:type="spellEnd"/>
      <w:r w:rsidRPr="0060174D"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  <w:t xml:space="preserve"> установить его.</w:t>
      </w:r>
    </w:p>
    <w:p w:rsidR="00542F7A" w:rsidRPr="0060174D" w:rsidRDefault="00542F7A" w:rsidP="0066231F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</w:p>
    <w:p w:rsidR="00542F7A" w:rsidRPr="0060174D" w:rsidRDefault="00542F7A" w:rsidP="0066231F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uk-UA" w:eastAsia="ru-RU"/>
        </w:rPr>
      </w:pPr>
      <w:r w:rsidRPr="0060174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BBE4E95" wp14:editId="6ED97B0D">
            <wp:extent cx="5991225" cy="225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7A" w:rsidRPr="0060174D" w:rsidRDefault="00542F7A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182" w:rsidRPr="0060174D" w:rsidRDefault="00542F7A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97F4C"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В інструментах аналізу знайдіть </w:t>
      </w:r>
      <w:proofErr w:type="spellStart"/>
      <w:r w:rsidR="00697F4C" w:rsidRPr="00697F4C">
        <w:rPr>
          <w:rFonts w:ascii="Times New Roman" w:hAnsi="Times New Roman" w:cs="Times New Roman"/>
          <w:sz w:val="28"/>
          <w:szCs w:val="28"/>
          <w:lang w:val="uk-UA"/>
        </w:rPr>
        <w:t>Однофакторний</w:t>
      </w:r>
      <w:proofErr w:type="spellEnd"/>
      <w:r w:rsidR="00697F4C"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 дисперсійний аналіз. </w:t>
      </w:r>
      <w:r w:rsidR="00697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97F4C" w:rsidRPr="00697F4C">
        <w:rPr>
          <w:rFonts w:ascii="Times New Roman" w:hAnsi="Times New Roman" w:cs="Times New Roman"/>
          <w:sz w:val="28"/>
          <w:szCs w:val="28"/>
          <w:lang w:val="uk-UA"/>
        </w:rPr>
        <w:t>атисніть ОК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F7A" w:rsidRPr="0060174D" w:rsidRDefault="00542F7A" w:rsidP="0066231F">
      <w:pPr>
        <w:tabs>
          <w:tab w:val="left" w:pos="993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017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89078D" wp14:editId="69F405B9">
            <wp:extent cx="5543550" cy="329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4C" w:rsidRPr="00697F4C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4. У вікно Вхідний інтервал </w:t>
      </w:r>
      <w:proofErr w:type="spellStart"/>
      <w:r w:rsidRPr="00697F4C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 коди створеної таблиці.</w:t>
      </w:r>
    </w:p>
    <w:p w:rsidR="00697F4C" w:rsidRPr="00697F4C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5. У вікні Мітки в першому рядку </w:t>
      </w:r>
      <w:proofErr w:type="spellStart"/>
      <w:r w:rsidRPr="00697F4C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 знак «v». Натисніть ОК.</w:t>
      </w:r>
    </w:p>
    <w:p w:rsidR="00697F4C" w:rsidRPr="00697F4C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6. У новому вікні з'явиться таблиця результатів </w:t>
      </w:r>
      <w:proofErr w:type="spellStart"/>
      <w:r w:rsidRPr="00697F4C">
        <w:rPr>
          <w:rFonts w:ascii="Times New Roman" w:hAnsi="Times New Roman" w:cs="Times New Roman"/>
          <w:sz w:val="28"/>
          <w:szCs w:val="28"/>
          <w:lang w:val="uk-UA"/>
        </w:rPr>
        <w:t>однофакторного</w:t>
      </w:r>
      <w:proofErr w:type="spellEnd"/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 ANOVA.</w:t>
      </w:r>
    </w:p>
    <w:p w:rsidR="00FB2486" w:rsidRPr="0060174D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7. Знайдіть у таблиці стовпець P-Значення, в якому відзначено шуканий рівень значущості відмінностей.</w:t>
      </w:r>
    </w:p>
    <w:bookmarkEnd w:id="0"/>
    <w:p w:rsidR="00FB2486" w:rsidRDefault="00697F4C" w:rsidP="0066231F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</w:t>
      </w:r>
      <w:proofErr w:type="spellStart"/>
      <w:r w:rsidRPr="00697F4C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однофакторного</w:t>
      </w:r>
      <w:proofErr w:type="spellEnd"/>
      <w:r w:rsidRPr="00697F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ANOVA для зв'язаних вибірок (Excel)</w:t>
      </w:r>
    </w:p>
    <w:p w:rsidR="00697F4C" w:rsidRPr="0060174D" w:rsidRDefault="00697F4C" w:rsidP="0066231F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2486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У протоколі наведені результати вимірювання часу (в секундах) читання одного і того ж тексту респондентами.</w:t>
      </w:r>
    </w:p>
    <w:p w:rsidR="00697F4C" w:rsidRPr="0060174D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12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36"/>
        <w:gridCol w:w="960"/>
        <w:gridCol w:w="960"/>
        <w:gridCol w:w="960"/>
        <w:gridCol w:w="236"/>
        <w:gridCol w:w="960"/>
        <w:gridCol w:w="960"/>
        <w:gridCol w:w="960"/>
      </w:tblGrid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542F7A" w:rsidRPr="0060174D" w:rsidTr="00FB248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542F7A" w:rsidRPr="0060174D" w:rsidRDefault="00542F7A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7F4C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Потрібно встановити рівень статистичної значущості відмінностей середніх значень часу читання текстів респондентами різних вікових груп: до 22 років, від 23 до 26 років, від 27 років.</w:t>
      </w:r>
    </w:p>
    <w:p w:rsidR="00697F4C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Фактором є вік респондентів.</w:t>
      </w:r>
    </w:p>
    <w:p w:rsidR="00697F4C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Фактор має три градації: до 22 років, від 23 до 26 років, від 27 років.</w:t>
      </w:r>
    </w:p>
    <w:p w:rsidR="00697F4C" w:rsidRPr="00697F4C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Досліджуваної змінної (властивістю) є час, витрачений респондентом на читання тексту.</w:t>
      </w:r>
    </w:p>
    <w:p w:rsidR="00542F7A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Замінимо в таблиці стовпець «Вік» на стовпець «Фактор».</w:t>
      </w:r>
    </w:p>
    <w:p w:rsidR="00697F4C" w:rsidRPr="0060174D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9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220"/>
        <w:gridCol w:w="257"/>
        <w:gridCol w:w="960"/>
        <w:gridCol w:w="1734"/>
        <w:gridCol w:w="960"/>
        <w:gridCol w:w="386"/>
        <w:gridCol w:w="960"/>
        <w:gridCol w:w="1237"/>
        <w:gridCol w:w="960"/>
      </w:tblGrid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</w:tr>
      <w:tr w:rsidR="00542F7A" w:rsidRPr="0060174D" w:rsidTr="00542F7A">
        <w:trPr>
          <w:trHeight w:val="28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до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2F7A" w:rsidRPr="0060174D" w:rsidTr="00542F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231F" w:rsidRPr="0060174D" w:rsidRDefault="0066231F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F7A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На окремому лист в Excel створимо таблицю зі стовпцями: до 22 років, від 23 до 26 років, від 27 років (назви градацій </w:t>
      </w:r>
      <w:proofErr w:type="spellStart"/>
      <w:r w:rsidRPr="00697F4C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697F4C">
        <w:rPr>
          <w:rFonts w:ascii="Times New Roman" w:hAnsi="Times New Roman" w:cs="Times New Roman"/>
          <w:sz w:val="28"/>
          <w:szCs w:val="28"/>
          <w:lang w:val="uk-UA"/>
        </w:rPr>
        <w:t>). З протоколу в створену таблицю перенесемо відповідні значення змінної (час, витрачений на читання тексту).</w:t>
      </w:r>
    </w:p>
    <w:p w:rsidR="00697F4C" w:rsidRPr="0060174D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87"/>
        <w:gridCol w:w="1276"/>
      </w:tblGrid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 22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 23 до 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більше 27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2F7A" w:rsidRPr="0060174D" w:rsidTr="00DC411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2F7A" w:rsidRPr="0060174D" w:rsidRDefault="00542F7A" w:rsidP="0066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B2486" w:rsidRPr="0060174D" w:rsidRDefault="00FB2486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F4C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Знайдемо в групі команд Дані команду Аналіз даних. Натиснемо ОК.</w:t>
      </w:r>
    </w:p>
    <w:p w:rsidR="00697F4C" w:rsidRPr="00697F4C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В Інструментах аналізу знайдемо </w:t>
      </w:r>
      <w:proofErr w:type="spellStart"/>
      <w:r w:rsidRPr="00697F4C">
        <w:rPr>
          <w:rFonts w:ascii="Times New Roman" w:hAnsi="Times New Roman" w:cs="Times New Roman"/>
          <w:sz w:val="28"/>
          <w:szCs w:val="28"/>
          <w:lang w:val="uk-UA"/>
        </w:rPr>
        <w:t>Однофакторний</w:t>
      </w:r>
      <w:proofErr w:type="spellEnd"/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 дисперсійний аналіз. Натиснемо ОК.</w:t>
      </w:r>
    </w:p>
    <w:p w:rsidR="00697F4C" w:rsidRPr="00697F4C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У вікно Вхідний інтервал </w:t>
      </w:r>
      <w:proofErr w:type="spellStart"/>
      <w:r w:rsidRPr="00697F4C">
        <w:rPr>
          <w:rFonts w:ascii="Times New Roman" w:hAnsi="Times New Roman" w:cs="Times New Roman"/>
          <w:sz w:val="28"/>
          <w:szCs w:val="28"/>
          <w:lang w:val="uk-UA"/>
        </w:rPr>
        <w:t>внесемо</w:t>
      </w:r>
      <w:proofErr w:type="spellEnd"/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 коди створеної таблиці шляхом виділення цієї таблиці. У вікні Мітки в першому рядку поставимо знак «v». Натиснемо ОК.</w:t>
      </w:r>
    </w:p>
    <w:p w:rsidR="00697F4C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У новому вікні з'явиться таблиця результатів </w:t>
      </w:r>
      <w:proofErr w:type="spellStart"/>
      <w:r w:rsidRPr="00697F4C">
        <w:rPr>
          <w:rFonts w:ascii="Times New Roman" w:hAnsi="Times New Roman" w:cs="Times New Roman"/>
          <w:sz w:val="28"/>
          <w:szCs w:val="28"/>
          <w:lang w:val="uk-UA"/>
        </w:rPr>
        <w:t>однофакторного</w:t>
      </w:r>
      <w:proofErr w:type="spellEnd"/>
      <w:r w:rsidRPr="00697F4C">
        <w:rPr>
          <w:rFonts w:ascii="Times New Roman" w:hAnsi="Times New Roman" w:cs="Times New Roman"/>
          <w:sz w:val="28"/>
          <w:szCs w:val="28"/>
          <w:lang w:val="uk-UA"/>
        </w:rPr>
        <w:t xml:space="preserve"> ANOVA.</w:t>
      </w:r>
    </w:p>
    <w:p w:rsidR="00DC411A" w:rsidRPr="0060174D" w:rsidRDefault="00697F4C" w:rsidP="00697F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Знайдемо в таблиці стовпець P-Значення, в якому відзначено шуканий рівень значущості відмінностей: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>α = 0,02 (</w:t>
      </w:r>
      <w:r w:rsidRPr="00697F4C">
        <w:rPr>
          <w:rFonts w:ascii="Times New Roman" w:hAnsi="Times New Roman" w:cs="Times New Roman"/>
          <w:sz w:val="28"/>
          <w:szCs w:val="28"/>
          <w:lang w:val="uk-UA"/>
        </w:rPr>
        <w:t>число округлено до двох знаків після коми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97F4C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b/>
          <w:sz w:val="28"/>
          <w:szCs w:val="28"/>
          <w:lang w:val="uk-UA"/>
        </w:rPr>
        <w:t>Статистичний висновок.</w:t>
      </w:r>
    </w:p>
    <w:p w:rsidR="00DC411A" w:rsidRPr="0060174D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α = 0,02, </w:t>
      </w:r>
      <w:proofErr w:type="spellStart"/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>т.е</w:t>
      </w:r>
      <w:proofErr w:type="spellEnd"/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. р 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sym w:font="Symbol" w:char="F0A3"/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0,02, </w:t>
      </w:r>
      <w:r w:rsidRPr="00697F4C">
        <w:rPr>
          <w:rFonts w:ascii="Times New Roman" w:hAnsi="Times New Roman" w:cs="Times New Roman"/>
          <w:sz w:val="28"/>
          <w:szCs w:val="28"/>
          <w:lang w:val="uk-UA"/>
        </w:rPr>
        <w:t>приймається гіпотеза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C126E" w:rsidRPr="006017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97F4C">
        <w:rPr>
          <w:rFonts w:ascii="Times New Roman" w:hAnsi="Times New Roman" w:cs="Times New Roman"/>
          <w:sz w:val="28"/>
          <w:szCs w:val="28"/>
          <w:lang w:val="uk-UA"/>
        </w:rPr>
        <w:t>Середні принаймні двох вибірок статистично значимо відрізняються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(р 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sym w:font="Symbol" w:char="F0A3"/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0,02). </w:t>
      </w:r>
    </w:p>
    <w:p w:rsidR="00697F4C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b/>
          <w:sz w:val="28"/>
          <w:szCs w:val="28"/>
          <w:lang w:val="uk-UA"/>
        </w:rPr>
        <w:t>Змістовний висновок.</w:t>
      </w:r>
    </w:p>
    <w:p w:rsidR="00DC126E" w:rsidRPr="0060174D" w:rsidRDefault="00697F4C" w:rsidP="0066231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4C">
        <w:rPr>
          <w:rFonts w:ascii="Times New Roman" w:hAnsi="Times New Roman" w:cs="Times New Roman"/>
          <w:sz w:val="28"/>
          <w:szCs w:val="28"/>
          <w:lang w:val="uk-UA"/>
        </w:rPr>
        <w:t>Виявлено статистично значущі (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sym w:font="Symbol" w:char="F0A3"/>
      </w:r>
      <w:r w:rsidRPr="0060174D">
        <w:rPr>
          <w:rFonts w:ascii="Times New Roman" w:hAnsi="Times New Roman" w:cs="Times New Roman"/>
          <w:sz w:val="28"/>
          <w:szCs w:val="28"/>
          <w:lang w:val="uk-UA"/>
        </w:rPr>
        <w:t xml:space="preserve"> 0,02</w:t>
      </w:r>
      <w:r w:rsidRPr="00697F4C">
        <w:rPr>
          <w:rFonts w:ascii="Times New Roman" w:hAnsi="Times New Roman" w:cs="Times New Roman"/>
          <w:sz w:val="28"/>
          <w:szCs w:val="28"/>
          <w:lang w:val="uk-UA"/>
        </w:rPr>
        <w:t>) відмінності середніх значень часу, витраченого на читання текстів, у респондентів різних вікових груп</w:t>
      </w:r>
      <w:r w:rsidR="00DC126E" w:rsidRPr="00601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31F" w:rsidRPr="0060174D" w:rsidRDefault="0066231F" w:rsidP="00FB248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174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EDE54A" wp14:editId="5BFB9F9A">
            <wp:extent cx="6483320" cy="435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6751" cy="438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4D" w:rsidRPr="0060174D" w:rsidRDefault="0060174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0174D" w:rsidRPr="0060174D" w:rsidSect="00FB2486">
      <w:headerReference w:type="default" r:id="rId11"/>
      <w:pgSz w:w="11906" w:h="16838"/>
      <w:pgMar w:top="567" w:right="851" w:bottom="567" w:left="85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5E" w:rsidRDefault="00A44D5E" w:rsidP="00FB2486">
      <w:pPr>
        <w:spacing w:after="0" w:line="240" w:lineRule="auto"/>
      </w:pPr>
      <w:r>
        <w:separator/>
      </w:r>
    </w:p>
  </w:endnote>
  <w:endnote w:type="continuationSeparator" w:id="0">
    <w:p w:rsidR="00A44D5E" w:rsidRDefault="00A44D5E" w:rsidP="00FB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5E" w:rsidRDefault="00A44D5E" w:rsidP="00FB2486">
      <w:pPr>
        <w:spacing w:after="0" w:line="240" w:lineRule="auto"/>
      </w:pPr>
      <w:r>
        <w:separator/>
      </w:r>
    </w:p>
  </w:footnote>
  <w:footnote w:type="continuationSeparator" w:id="0">
    <w:p w:rsidR="00A44D5E" w:rsidRDefault="00A44D5E" w:rsidP="00FB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3400"/>
    </w:tblGrid>
    <w:tr w:rsidR="00BB4C74" w:rsidRPr="00FB2486">
      <w:trPr>
        <w:trHeight w:val="720"/>
      </w:trPr>
      <w:tc>
        <w:tcPr>
          <w:tcW w:w="1667" w:type="pct"/>
        </w:tcPr>
        <w:p w:rsidR="00BB4C74" w:rsidRDefault="00BB4C74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B4C74" w:rsidRDefault="00BB4C74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B4C74" w:rsidRPr="00FB2486" w:rsidRDefault="00BB4C74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0"/>
            </w:rPr>
          </w:pPr>
          <w:r w:rsidRPr="00FB2486">
            <w:rPr>
              <w:color w:val="5B9BD5" w:themeColor="accent1"/>
              <w:sz w:val="20"/>
              <w:szCs w:val="24"/>
            </w:rPr>
            <w:fldChar w:fldCharType="begin"/>
          </w:r>
          <w:r w:rsidRPr="00FB2486">
            <w:rPr>
              <w:color w:val="5B9BD5" w:themeColor="accent1"/>
              <w:sz w:val="20"/>
              <w:szCs w:val="24"/>
            </w:rPr>
            <w:instrText>PAGE   \* MERGEFORMAT</w:instrText>
          </w:r>
          <w:r w:rsidRPr="00FB2486">
            <w:rPr>
              <w:color w:val="5B9BD5" w:themeColor="accent1"/>
              <w:sz w:val="20"/>
              <w:szCs w:val="24"/>
            </w:rPr>
            <w:fldChar w:fldCharType="separate"/>
          </w:r>
          <w:r w:rsidR="00A142F0">
            <w:rPr>
              <w:noProof/>
              <w:color w:val="5B9BD5" w:themeColor="accent1"/>
              <w:sz w:val="20"/>
              <w:szCs w:val="24"/>
            </w:rPr>
            <w:t>1</w:t>
          </w:r>
          <w:r w:rsidRPr="00FB2486">
            <w:rPr>
              <w:color w:val="5B9BD5" w:themeColor="accent1"/>
              <w:sz w:val="20"/>
              <w:szCs w:val="24"/>
            </w:rPr>
            <w:fldChar w:fldCharType="end"/>
          </w:r>
        </w:p>
      </w:tc>
    </w:tr>
  </w:tbl>
  <w:p w:rsidR="00BB4C74" w:rsidRDefault="00BB4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657B"/>
    <w:multiLevelType w:val="multilevel"/>
    <w:tmpl w:val="E528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2"/>
    <w:rsid w:val="00112D88"/>
    <w:rsid w:val="00542F7A"/>
    <w:rsid w:val="0060174D"/>
    <w:rsid w:val="0066231F"/>
    <w:rsid w:val="00676A62"/>
    <w:rsid w:val="00697F4C"/>
    <w:rsid w:val="006C1FE8"/>
    <w:rsid w:val="009B6182"/>
    <w:rsid w:val="00A142F0"/>
    <w:rsid w:val="00A44D5E"/>
    <w:rsid w:val="00BB4C74"/>
    <w:rsid w:val="00BF5827"/>
    <w:rsid w:val="00D06225"/>
    <w:rsid w:val="00DC126E"/>
    <w:rsid w:val="00DC411A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1F25-E1C7-4061-B125-3882C007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F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486"/>
  </w:style>
  <w:style w:type="paragraph" w:styleId="a7">
    <w:name w:val="footer"/>
    <w:basedOn w:val="a"/>
    <w:link w:val="a8"/>
    <w:uiPriority w:val="99"/>
    <w:unhideWhenUsed/>
    <w:rsid w:val="00FB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8</cp:revision>
  <dcterms:created xsi:type="dcterms:W3CDTF">2021-05-19T09:33:00Z</dcterms:created>
  <dcterms:modified xsi:type="dcterms:W3CDTF">2021-05-19T19:20:00Z</dcterms:modified>
</cp:coreProperties>
</file>