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D5" w:rsidRPr="001B33C2" w:rsidRDefault="00BE69D5" w:rsidP="00BE69D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B33C2">
        <w:rPr>
          <w:rFonts w:ascii="Times New Roman" w:hAnsi="Times New Roman" w:cs="Times New Roman"/>
          <w:sz w:val="28"/>
          <w:szCs w:val="28"/>
        </w:rPr>
        <w:t>Змістовий модуль II . Основні засади підприємницької діяльності.</w:t>
      </w:r>
    </w:p>
    <w:p w:rsidR="00BE69D5" w:rsidRPr="005C35D0" w:rsidRDefault="00BE69D5" w:rsidP="00BE69D5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33EB">
        <w:rPr>
          <w:rFonts w:ascii="Times New Roman" w:hAnsi="Times New Roman" w:cs="Times New Roman"/>
          <w:b/>
          <w:bCs/>
          <w:caps/>
          <w:sz w:val="28"/>
          <w:szCs w:val="28"/>
        </w:rPr>
        <w:t>Тема 5</w:t>
      </w:r>
      <w:r w:rsidRPr="0024515E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1B33C2">
        <w:rPr>
          <w:rFonts w:ascii="Times New Roman" w:hAnsi="Times New Roman" w:cs="Times New Roman"/>
          <w:sz w:val="28"/>
          <w:szCs w:val="28"/>
        </w:rPr>
        <w:t>Технологія застосування власної справи</w:t>
      </w:r>
      <w:r>
        <w:rPr>
          <w:rFonts w:ascii="Times New Roman" w:hAnsi="Times New Roman" w:cs="Times New Roman"/>
          <w:sz w:val="28"/>
          <w:szCs w:val="28"/>
        </w:rPr>
        <w:t>. Мале 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дпри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>мниц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во</w:t>
      </w:r>
    </w:p>
    <w:p w:rsidR="00BE69D5" w:rsidRPr="00FB3819" w:rsidRDefault="00BE69D5" w:rsidP="00BE69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План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4515E">
        <w:rPr>
          <w:rFonts w:ascii="Times New Roman" w:hAnsi="Times New Roman" w:cs="Times New Roman"/>
          <w:bCs/>
          <w:sz w:val="28"/>
          <w:szCs w:val="28"/>
        </w:rPr>
        <w:t xml:space="preserve"> Економічна сутність малого підприємництва.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4515E">
        <w:rPr>
          <w:rFonts w:ascii="Times New Roman" w:hAnsi="Times New Roman" w:cs="Times New Roman"/>
          <w:bCs/>
          <w:sz w:val="28"/>
          <w:szCs w:val="28"/>
        </w:rPr>
        <w:t xml:space="preserve"> Функції малого підприємництва.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</w:t>
      </w:r>
      <w:r w:rsidRPr="001603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Суб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’єкт підприємницької діяльності -</w:t>
      </w:r>
      <w:r w:rsidRPr="001603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фізична особа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E364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Державна реєстрація ФОП</w:t>
      </w:r>
    </w:p>
    <w:p w:rsidR="00BE69D5" w:rsidRPr="000017E6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2649ED">
        <w:rPr>
          <w:rFonts w:ascii="Times New Roman" w:hAnsi="Times New Roman" w:cs="Times New Roman"/>
          <w:bCs/>
          <w:sz w:val="28"/>
          <w:szCs w:val="28"/>
        </w:rPr>
        <w:t>прощена система оподаткування ФОП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E69D5" w:rsidRPr="00FB3819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3819">
        <w:rPr>
          <w:rFonts w:ascii="Times New Roman" w:hAnsi="Times New Roman" w:cs="Times New Roman"/>
          <w:b/>
          <w:bCs/>
          <w:sz w:val="28"/>
          <w:szCs w:val="28"/>
          <w:lang w:val="uk-UA"/>
        </w:rPr>
        <w:t>1.Економічна сутність малого підприємництва.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Мале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ідприємництво -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самостійна, систематична, ініціативна господарська діяльність малих підприємств та громадян - підприємців (фізичних осіб), яка проводиться на власний ризик з метою отримання прибутку. 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3FE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Малі підприємства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— це організаційно-економічний вид підприємств, які згідно зі ст. 2 Закону України "Про підприємства в Україні" кваліфікуються за показником чисельності зайнятих працівників із градацією за сферами діяльності.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Зокрема, до малих підприємств належать підприємства з кількістю зайнятих від 15 до 200 осіб залежно від галузі або виду діяльності. Так, у промисловості та будівництві малими вважаються підприємства, на яких працює до 200 осіб, в інших галузях виробничої сфери — до 50 осіб, у науці та науковому обслуговуванні — до 100 осіб, у галузях невиробничої сфери — до 25 осіб, а в роздрібній торгівлі — до 15 осіб.</w:t>
      </w:r>
      <w:r w:rsidRPr="00FF73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514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Так, у Японії до малих та середніх відносять юридичне самостійні підприємства, що мають до 300 робітників, У Великобританії у виробничій сфері фірма офіційно вважається малою, якщо в ній зайнято до 200 осіб. 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зі статтею 63 </w:t>
      </w:r>
      <w:r w:rsidRPr="005A3FE1">
        <w:rPr>
          <w:rFonts w:ascii="Times New Roman" w:hAnsi="Times New Roman" w:cs="Times New Roman"/>
          <w:bCs/>
          <w:i/>
          <w:sz w:val="28"/>
          <w:szCs w:val="28"/>
          <w:lang w:val="uk-UA"/>
        </w:rPr>
        <w:t>Господарського кодексу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</w:t>
      </w:r>
      <w:r w:rsidRPr="005A3FE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малими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визнаються підприємства, в яких середньооблікова чисельність працюючих за звітний (фінансовий) рік не перевищує </w:t>
      </w:r>
      <w:r w:rsidRPr="002B1E72">
        <w:rPr>
          <w:rFonts w:ascii="Times New Roman" w:hAnsi="Times New Roman" w:cs="Times New Roman"/>
          <w:b/>
          <w:bCs/>
          <w:sz w:val="28"/>
          <w:szCs w:val="28"/>
          <w:lang w:val="uk-UA"/>
        </w:rPr>
        <w:t>50 осіб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обсяг валового доходу від реалізації продукції (робіт, послуг) за цей період не перевищує суми, еквівалентної </w:t>
      </w:r>
      <w:r w:rsidRPr="002B1E72">
        <w:rPr>
          <w:rFonts w:ascii="Times New Roman" w:hAnsi="Times New Roman" w:cs="Times New Roman"/>
          <w:b/>
          <w:bCs/>
          <w:sz w:val="28"/>
          <w:szCs w:val="28"/>
          <w:lang w:val="uk-UA"/>
        </w:rPr>
        <w:t>500 тис.євро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середньорічним курсом Національного банку України щодо гривні.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73EC">
        <w:rPr>
          <w:lang w:val="uk-UA"/>
        </w:rPr>
        <w:t xml:space="preserve"> 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1 Закону України "Про державну підтримку малого підприємництва" </w:t>
      </w:r>
      <w:r w:rsidRPr="005A3FE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5A3FE1">
        <w:rPr>
          <w:rFonts w:ascii="Times New Roman" w:hAnsi="Times New Roman" w:cs="Times New Roman"/>
          <w:b/>
          <w:bCs/>
          <w:sz w:val="28"/>
          <w:szCs w:val="28"/>
          <w:lang w:val="uk-UA"/>
        </w:rPr>
        <w:t>єктами малого підприємництва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>фізичні особи, зареєстровані у встановленому законом порядку як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>єкти підприємницької діяльності</w:t>
      </w:r>
    </w:p>
    <w:p w:rsidR="00BE69D5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>юридичні особи -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>єкти підприємницької діяльності будь-якої організаційно-правової форми, в яких середньооблікова чисельність працюючих за звітний період (календарний рік) не перевищує 50 осіб та обсяг річного валового доходу не перевищує 500000 євро.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>Віднесення підприємств до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>єктів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малого підприємництва означає </w:t>
      </w:r>
      <w:r w:rsidRPr="00FF73EC">
        <w:rPr>
          <w:rFonts w:ascii="Times New Roman" w:hAnsi="Times New Roman" w:cs="Times New Roman"/>
          <w:bCs/>
          <w:sz w:val="28"/>
          <w:szCs w:val="28"/>
          <w:lang w:val="uk-UA"/>
        </w:rPr>
        <w:t>можливість перейти на спрощену систему оподаткування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1603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це особливі умови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системи</w:t>
      </w:r>
      <w:r w:rsidRPr="005A3F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оподаткування, обліку та звітності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суб’єкта</w:t>
      </w:r>
      <w:r w:rsidRPr="005A3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малого</w:t>
      </w:r>
      <w:r w:rsidRPr="001603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A3FE1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бізнесу</w:t>
      </w:r>
      <w:r w:rsidRPr="005A3FE1">
        <w:rPr>
          <w:rFonts w:ascii="Times New Roman" w:hAnsi="Times New Roman" w:cs="Times New Roman"/>
          <w:bCs/>
          <w:sz w:val="28"/>
          <w:szCs w:val="28"/>
          <w:lang w:val="uk-UA"/>
        </w:rPr>
        <w:t>, який одержав Свідоцтво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 право сплати єдиного податку</w:t>
      </w:r>
      <w:r w:rsidRPr="005A3F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E69D5" w:rsidRPr="003815C8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15C8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"суб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 w:rsidRPr="003815C8">
        <w:rPr>
          <w:rFonts w:ascii="Times New Roman" w:hAnsi="Times New Roman" w:cs="Times New Roman"/>
          <w:bCs/>
          <w:sz w:val="24"/>
          <w:szCs w:val="24"/>
          <w:lang w:val="uk-UA"/>
        </w:rPr>
        <w:t>єкт малого підприємництва" та "мале підприємство" не є тотожними, оскільки до суб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 w:rsidRPr="003815C8">
        <w:rPr>
          <w:rFonts w:ascii="Times New Roman" w:hAnsi="Times New Roman" w:cs="Times New Roman"/>
          <w:bCs/>
          <w:sz w:val="24"/>
          <w:szCs w:val="24"/>
          <w:lang w:val="uk-UA"/>
        </w:rPr>
        <w:t>єктів малого підприємництва крім малих підприємств відносяться й фізичні особи - підприємці.</w:t>
      </w:r>
    </w:p>
    <w:p w:rsidR="00BE69D5" w:rsidRPr="00A75237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Статтею 2 того ж самого Закону встановлено винятки з кола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єктів підприємницької діяльності, які можуть бути віднесені до категорії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єктів малого підприємництва, тобто визначені ті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єкти, які навіть у разі дотримання вказаних вище вимог не можуть бути віднесені до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єктів малого підприємництва. Це такі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єкти підприємницької діяльності:</w:t>
      </w:r>
    </w:p>
    <w:p w:rsidR="00BE69D5" w:rsidRPr="00A75237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-довірчі товариства;</w:t>
      </w:r>
    </w:p>
    <w:p w:rsidR="00BE69D5" w:rsidRPr="00A75237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-страхові компанії;</w:t>
      </w:r>
    </w:p>
    <w:p w:rsidR="00BE69D5" w:rsidRPr="00A75237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-ломбарди;</w:t>
      </w:r>
    </w:p>
    <w:p w:rsidR="00BE69D5" w:rsidRPr="00A75237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-інші фінансово-кредитні та небанківські фінансові установи;</w:t>
      </w:r>
    </w:p>
    <w:p w:rsidR="00BE69D5" w:rsidRPr="00A75237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-суб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єкти підприємницької діяльності, які провадять діяльність у сфері грального бізнесу;</w:t>
      </w:r>
    </w:p>
    <w:p w:rsidR="00BE69D5" w:rsidRPr="00A75237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-суб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єкти підприємницької діяльності, які здійснюють обмін іноземної валюти;</w:t>
      </w:r>
    </w:p>
    <w:p w:rsidR="00BE69D5" w:rsidRPr="00A75237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-суб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єкти підприємницької діяльності, які є виробниками та імпортерами підакцизних товарів;</w:t>
      </w:r>
    </w:p>
    <w:p w:rsidR="00BE69D5" w:rsidRPr="00A75237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--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єкти підприємницької діяльності, у статутному фонді яких частка вкладів, що належить юридичним особам — засновникам та учасникам цих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єктів, які не є суб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A75237">
        <w:rPr>
          <w:rFonts w:ascii="Times New Roman" w:hAnsi="Times New Roman" w:cs="Times New Roman"/>
          <w:bCs/>
          <w:sz w:val="28"/>
          <w:szCs w:val="28"/>
          <w:lang w:val="uk-UA"/>
        </w:rPr>
        <w:t>єктами малого підприємництва, перевищує 25 відсотків.</w:t>
      </w:r>
    </w:p>
    <w:p w:rsidR="00BE69D5" w:rsidRPr="00B76039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35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 </w:t>
      </w:r>
      <w:r w:rsidRPr="00FB381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Мале підприємництво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виконує цілу низку життєво </w:t>
      </w:r>
      <w:r w:rsidRPr="00FB381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важливих функцій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•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ab/>
        <w:t>МП відіграють особливу роль у розвитку торгівлі, сфери послуг, громадського харчування, виробництва товарів народного споживання;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•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ab/>
        <w:t>сприяють формуванню конкуренції та протистоять монополістичним тенденціям;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•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ab/>
        <w:t>створюють велику частку товарів в економіці;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•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ab/>
        <w:t>сприяють вирішенню проблеми зайнятості;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•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ab/>
        <w:t>задовольняють специфічні потреби споживачів, формують індивідуальний попит;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•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ab/>
        <w:t>роблять значний внесок у науково-технічний прогрес;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•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ab/>
        <w:t>забезпечують базу для становлення середніх та великих підприємств у майбутньому;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•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ab/>
        <w:t>пом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якшують економічні кризи;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•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ab/>
        <w:t>підтримують соціальну та політичну стабільність, утверджують демократизм у бізнесі, тощо.</w:t>
      </w:r>
    </w:p>
    <w:p w:rsidR="00BE69D5" w:rsidRPr="0024515E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Проте малий бізнес має і деякі недоліки. Невеликий обсяг операцій лімітує можливості малого підприємства розширювати свою діяльність, а також вести великі наукові розробки. МП відрізняються підвищеною вразливістю до коливань ринкової кон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515E">
        <w:rPr>
          <w:rFonts w:ascii="Times New Roman" w:hAnsi="Times New Roman" w:cs="Times New Roman"/>
          <w:bCs/>
          <w:sz w:val="28"/>
          <w:szCs w:val="28"/>
          <w:lang w:val="uk-UA"/>
        </w:rPr>
        <w:t>юнктури, що призводить до частих розорень та банкрутств. Відповідно працівники малих компаній є менш соціально захищеними, ніж на великих фірмах.</w:t>
      </w:r>
    </w:p>
    <w:p w:rsidR="00BE69D5" w:rsidRDefault="00BE69D5" w:rsidP="00BE6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E69D5" w:rsidRPr="00FB3819" w:rsidRDefault="00BE69D5" w:rsidP="00BE6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B381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3. Суб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’</w:t>
      </w:r>
      <w:r w:rsidRPr="00FB381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єкт підприємницької діяльності — фізична особа</w:t>
      </w:r>
    </w:p>
    <w:p w:rsidR="00BE69D5" w:rsidRPr="0016030C" w:rsidRDefault="00BE69D5" w:rsidP="00BE6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603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Чинне законодавство України переважно тлумачить термін «підприємець» як фізичну особу, що здійснює підприємницьку діяльність, тобто ініціативну, систематичну, на власний ризик діяльність з метою одержання прибутку, без створення юридичної особи, і зареєстрована як підприємець у встановленому законом порядку.</w:t>
      </w:r>
    </w:p>
    <w:p w:rsidR="00BE69D5" w:rsidRPr="0016030C" w:rsidRDefault="00BE69D5" w:rsidP="00BE6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603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Повна офіційна назва особи, що здійснює підприємницьку діяльність без створення юридичної особи — «Суб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</w:t>
      </w:r>
      <w:r w:rsidRPr="001603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єкт підприємницької діяльності — фізична особа (ФОП)</w:t>
      </w:r>
    </w:p>
    <w:p w:rsidR="00BE69D5" w:rsidRPr="0016030C" w:rsidRDefault="00BE69D5" w:rsidP="00BE6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603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Україні ФОП можуть здійснювати підприємницьку діяльність користуючись загальною системою оподаткування або на єдиному податку.</w:t>
      </w:r>
    </w:p>
    <w:p w:rsidR="00BE69D5" w:rsidRDefault="00BE69D5" w:rsidP="00BE6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603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Особливістю ведення господарської діяльності без створення юридичної особи є істотно більша відповідальність порівняно з юридичною особою та дещо обмежені права. Так, ФОП відповідає усім своїм майном, крім майна, на яке згідно із законом не може бути звернено стягнення, фізична особа - підприємець, яка перебуває у шлюбі, відповідає усім своїм особистим майном і часткою у праві спільної сумісної власності подружжя, яка належатиме їй при поділі цього майна та ФОП не має право займатися певними видами господарської діяльності</w:t>
      </w:r>
    </w:p>
    <w:p w:rsidR="00BE69D5" w:rsidRPr="00EE7022" w:rsidRDefault="00BE69D5" w:rsidP="00BE6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порівняємо</w:t>
      </w:r>
      <w:r w:rsidRPr="00EE702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основні особливості здійснення підприємницької діяльності у формі підприємства (юридичної особи) та у формі приватного підприємця (фізичної особи). Результати такого порівняння наведені в таблиці 1.</w:t>
      </w:r>
    </w:p>
    <w:p w:rsidR="00BE69D5" w:rsidRPr="00EE7022" w:rsidRDefault="00BE69D5" w:rsidP="00BE69D5">
      <w:pPr>
        <w:keepNext/>
        <w:spacing w:after="0" w:line="240" w:lineRule="auto"/>
        <w:ind w:firstLine="720"/>
        <w:jc w:val="right"/>
        <w:outlineLvl w:val="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E702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Таблиця 1 </w:t>
      </w:r>
    </w:p>
    <w:p w:rsidR="00BE69D5" w:rsidRPr="00EE7022" w:rsidRDefault="00BE69D5" w:rsidP="00BE6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E702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Порівняння особливості здійснення підприємницької діяльності в залежності від організаційної форми господарювання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037"/>
        <w:gridCol w:w="2882"/>
      </w:tblGrid>
      <w:tr w:rsidR="00BE69D5" w:rsidRPr="002139DD" w:rsidTr="00DB12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keepNext/>
              <w:jc w:val="center"/>
              <w:outlineLvl w:val="5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Критерії порівняння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jc w:val="center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Мале підприємство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jc w:val="center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Приватний підприємець</w:t>
            </w:r>
          </w:p>
        </w:tc>
      </w:tr>
      <w:tr w:rsidR="00BE69D5" w:rsidRPr="002139DD" w:rsidTr="00DB12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keepNext/>
              <w:jc w:val="center"/>
              <w:outlineLvl w:val="5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jc w:val="center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jc w:val="center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3</w:t>
            </w:r>
          </w:p>
        </w:tc>
      </w:tr>
      <w:tr w:rsidR="00BE69D5" w:rsidRPr="002139DD" w:rsidTr="00DB1274">
        <w:trPr>
          <w:trHeight w:val="2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BE69D5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Наявність найманих працівників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обов</w:t>
            </w:r>
            <w:r>
              <w:rPr>
                <w:sz w:val="22"/>
                <w:szCs w:val="22"/>
              </w:rPr>
              <w:t>’</w:t>
            </w:r>
            <w:r w:rsidRPr="002139DD">
              <w:rPr>
                <w:sz w:val="22"/>
                <w:szCs w:val="22"/>
              </w:rPr>
              <w:t>язкова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не обов</w:t>
            </w:r>
            <w:r>
              <w:rPr>
                <w:sz w:val="22"/>
                <w:szCs w:val="22"/>
              </w:rPr>
              <w:t>’</w:t>
            </w:r>
            <w:r w:rsidRPr="002139DD">
              <w:rPr>
                <w:sz w:val="22"/>
                <w:szCs w:val="22"/>
              </w:rPr>
              <w:t>язкова</w:t>
            </w:r>
          </w:p>
        </w:tc>
      </w:tr>
      <w:tr w:rsidR="00BE69D5" w:rsidRPr="002139DD" w:rsidTr="00DB12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BE69D5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Майнова відповідальність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залежить від юридичного статусу підприємства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повна відповідальність власним майном</w:t>
            </w:r>
          </w:p>
        </w:tc>
      </w:tr>
      <w:tr w:rsidR="00BE69D5" w:rsidRPr="002139DD" w:rsidTr="00DB12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BE69D5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Кредитування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доволі широкі умови кредитування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неширокий вибір умов кредитування</w:t>
            </w:r>
          </w:p>
        </w:tc>
      </w:tr>
      <w:tr w:rsidR="00BE69D5" w:rsidRPr="002139DD" w:rsidTr="00DB12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BE69D5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Форма обліку та звітності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залежить від вибору підприємства (повна або скорочена); ведення бухгалтерського обліку – обов</w:t>
            </w:r>
            <w:r>
              <w:rPr>
                <w:sz w:val="22"/>
                <w:szCs w:val="22"/>
              </w:rPr>
              <w:t>’</w:t>
            </w:r>
            <w:r w:rsidRPr="002139DD">
              <w:rPr>
                <w:sz w:val="22"/>
                <w:szCs w:val="22"/>
              </w:rPr>
              <w:t xml:space="preserve">язкове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залежить лише від форми оподаткування доходу; ведення бухгалтерського обліку – необов</w:t>
            </w:r>
            <w:r>
              <w:rPr>
                <w:sz w:val="22"/>
                <w:szCs w:val="22"/>
              </w:rPr>
              <w:t>’</w:t>
            </w:r>
            <w:r w:rsidRPr="002139DD">
              <w:rPr>
                <w:sz w:val="22"/>
                <w:szCs w:val="22"/>
              </w:rPr>
              <w:t>язкове, найчастіше не здійснюється</w:t>
            </w:r>
          </w:p>
        </w:tc>
      </w:tr>
      <w:tr w:rsidR="00BE69D5" w:rsidRPr="002139DD" w:rsidTr="00DB1274">
        <w:trPr>
          <w:cantSplit/>
          <w:trHeight w:val="14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BE69D5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 xml:space="preserve">Умови застосування спрощеної системи оподаткування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ind w:left="11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 xml:space="preserve">граничний обсяг доходу для застосування спрощеної системи оподаткування </w:t>
            </w:r>
            <w:r>
              <w:rPr>
                <w:sz w:val="22"/>
                <w:szCs w:val="22"/>
              </w:rPr>
              <w:t xml:space="preserve">складає 1 000 000 грн за рік </w:t>
            </w:r>
            <w:r w:rsidRPr="002139DD">
              <w:rPr>
                <w:sz w:val="22"/>
                <w:szCs w:val="22"/>
              </w:rPr>
              <w:t xml:space="preserve">; </w:t>
            </w:r>
          </w:p>
          <w:p w:rsidR="00BE69D5" w:rsidRPr="002139DD" w:rsidRDefault="00BE69D5" w:rsidP="00DB1274">
            <w:pPr>
              <w:tabs>
                <w:tab w:val="left" w:pos="0"/>
              </w:tabs>
              <w:ind w:left="11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чисельність працюючих не перевищує 50 осіб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  <w:tab w:val="left" w:pos="406"/>
              </w:tabs>
              <w:ind w:left="46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граничний обсяг доходу для застосування спрощеної системи оподаткуванн</w:t>
            </w:r>
            <w:r>
              <w:rPr>
                <w:sz w:val="22"/>
                <w:szCs w:val="22"/>
              </w:rPr>
              <w:t xml:space="preserve">я складає 500 000 грн за рік </w:t>
            </w:r>
            <w:r w:rsidRPr="002139DD">
              <w:rPr>
                <w:sz w:val="22"/>
                <w:szCs w:val="22"/>
              </w:rPr>
              <w:t xml:space="preserve">; </w:t>
            </w:r>
          </w:p>
          <w:p w:rsidR="00BE69D5" w:rsidRPr="002139DD" w:rsidRDefault="00BE69D5" w:rsidP="00DB1274">
            <w:pPr>
              <w:tabs>
                <w:tab w:val="left" w:pos="0"/>
                <w:tab w:val="left" w:pos="406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чисельність працюючих року не перевищує 10 осіб</w:t>
            </w:r>
          </w:p>
        </w:tc>
      </w:tr>
      <w:tr w:rsidR="00BE69D5" w:rsidRPr="002139DD" w:rsidTr="00DB12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BE69D5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 xml:space="preserve">Участь у бізнес-інкубаторах, кредитних спілках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Більші можливості залучення до різного роду спілок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D5" w:rsidRPr="002139DD" w:rsidRDefault="00BE69D5" w:rsidP="00DB12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139DD">
              <w:rPr>
                <w:sz w:val="22"/>
                <w:szCs w:val="22"/>
              </w:rPr>
              <w:t>Менші можливості залучення до об</w:t>
            </w:r>
            <w:r>
              <w:rPr>
                <w:sz w:val="22"/>
                <w:szCs w:val="22"/>
              </w:rPr>
              <w:t>’</w:t>
            </w:r>
            <w:r w:rsidRPr="002139DD">
              <w:rPr>
                <w:sz w:val="22"/>
                <w:szCs w:val="22"/>
              </w:rPr>
              <w:t>єднань та спілок</w:t>
            </w:r>
          </w:p>
        </w:tc>
      </w:tr>
    </w:tbl>
    <w:p w:rsidR="00BE69D5" w:rsidRPr="00EE7022" w:rsidRDefault="00BE69D5" w:rsidP="00BE69D5">
      <w:pPr>
        <w:tabs>
          <w:tab w:val="left" w:pos="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E69D5" w:rsidRPr="002139DD" w:rsidRDefault="00BE69D5" w:rsidP="00BE6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Порівняння особливостей функціонування двох організаційних форм підприємницької діяльності дозволяє сформулювати такі висновки:</w:t>
      </w:r>
    </w:p>
    <w:p w:rsidR="00BE69D5" w:rsidRPr="002139DD" w:rsidRDefault="00BE69D5" w:rsidP="00BE69D5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рушійною силою діяльності малого підприємства є підприємець; мале підприємство забезпечує реалізацію його підприємницьких здібностей;</w:t>
      </w:r>
    </w:p>
    <w:p w:rsidR="00BE69D5" w:rsidRPr="002139DD" w:rsidRDefault="00BE69D5" w:rsidP="00BE69D5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мале підприємство являє собою більш високий рівень підприємництва у порівнянні із діяльністю приватного підприємця, оскільки діяльність підприємства передбачає більші масштаби у порівнянні з діяльністю підприємця як фізичної особи;</w:t>
      </w:r>
    </w:p>
    <w:p w:rsidR="00BE69D5" w:rsidRPr="002139DD" w:rsidRDefault="00BE69D5" w:rsidP="00BE69D5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умови здійснення інноваційної діяльності підприємцю доцільніше обирати організаційну форму юридичної особи (у вигляді підприємства) для полегшення отримання кредитів, заходів державної підтримки, підтримки з боку відповідних спілок;</w:t>
      </w:r>
    </w:p>
    <w:p w:rsidR="00BE69D5" w:rsidRPr="002139DD" w:rsidRDefault="00BE69D5" w:rsidP="00BE69D5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перевага, що з одного боку, міститься у відсутності необхідності ведення бухгалтерського обліку фізичними особами, сприяє виникненню різного роду помилок через відсутність чіткої системи обліку;</w:t>
      </w:r>
    </w:p>
    <w:p w:rsidR="00BE69D5" w:rsidRPr="002139DD" w:rsidRDefault="00BE69D5" w:rsidP="00BE69D5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застосування спрощеної системи оподаткування для юридичних осіб є ширшою, ніж для фізичних осіб.</w:t>
      </w:r>
    </w:p>
    <w:p w:rsidR="00BE69D5" w:rsidRPr="00905EDA" w:rsidRDefault="00BE69D5" w:rsidP="00BE6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E69D5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E364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</w:t>
      </w:r>
      <w:r w:rsidRPr="002139DD">
        <w:rPr>
          <w:rFonts w:ascii="Times New Roman" w:hAnsi="Times New Roman" w:cs="Times New Roman"/>
          <w:b/>
          <w:bCs/>
          <w:sz w:val="28"/>
          <w:szCs w:val="28"/>
        </w:rPr>
        <w:t>Документи, що подаються для проведення державної реєстрації фізичної особи, яка має намір стати підприємцем</w:t>
      </w:r>
      <w:r w:rsidRPr="00E36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E69D5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4E3">
        <w:rPr>
          <w:rFonts w:ascii="Times New Roman" w:hAnsi="Times New Roman" w:cs="Times New Roman"/>
          <w:sz w:val="28"/>
          <w:szCs w:val="28"/>
        </w:rPr>
        <w:t xml:space="preserve">1. Для проведення державної реєстрації фізична особа, яка має намір   стати підприємцем та  має  ідентифікаційний  номер,  або уповноважена  нею  особа  повинна подати особисто (надіслати  рекомендованим  листом  з  описом вкладення) або через уповноважену  особу  державному  реєстратору  за місцем проживання такі документи: </w:t>
      </w:r>
    </w:p>
    <w:p w:rsidR="00BE69D5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заповнену реєстраційну</w:t>
      </w:r>
      <w:r w:rsidRPr="00E364E3">
        <w:rPr>
          <w:rFonts w:ascii="Times New Roman" w:hAnsi="Times New Roman" w:cs="Times New Roman"/>
          <w:sz w:val="28"/>
          <w:szCs w:val="28"/>
        </w:rPr>
        <w:t> 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картку</w:t>
      </w:r>
      <w:r w:rsidRPr="00E364E3">
        <w:rPr>
          <w:rFonts w:ascii="Times New Roman" w:hAnsi="Times New Roman" w:cs="Times New Roman"/>
          <w:sz w:val="28"/>
          <w:szCs w:val="28"/>
        </w:rPr>
        <w:t> 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E364E3">
        <w:rPr>
          <w:rFonts w:ascii="Times New Roman" w:hAnsi="Times New Roman" w:cs="Times New Roman"/>
          <w:sz w:val="28"/>
          <w:szCs w:val="28"/>
        </w:rPr>
        <w:t> 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Pr="00E364E3">
        <w:rPr>
          <w:rFonts w:ascii="Times New Roman" w:hAnsi="Times New Roman" w:cs="Times New Roman"/>
          <w:sz w:val="28"/>
          <w:szCs w:val="28"/>
        </w:rPr>
        <w:t> 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реєстраціїфізичної особи - підприємця; </w:t>
      </w:r>
    </w:p>
    <w:p w:rsidR="00BE69D5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копію довідки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включення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заявника до Державного реєстру фізичних осіб - платників податків та інших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язкових платежів; </w:t>
      </w:r>
    </w:p>
    <w:p w:rsidR="00BE69D5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819">
        <w:rPr>
          <w:rFonts w:ascii="Times New Roman" w:hAnsi="Times New Roman" w:cs="Times New Roman"/>
          <w:sz w:val="28"/>
          <w:szCs w:val="28"/>
          <w:lang w:val="uk-UA"/>
        </w:rPr>
        <w:t>документ, що підтверджує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внесення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реєстраційного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збору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за проведення державної реєстрації фізичної особи - підприємця; </w:t>
      </w:r>
    </w:p>
    <w:p w:rsidR="00BE69D5" w:rsidRPr="00E364E3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нотаріально посвідчену письмову згоду батьків (усиновлювачів) або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піклувальника, або органу опіки та піклування, якщо заявником є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фізична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особа,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досягла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шістнадцяти</w:t>
      </w:r>
      <w:r w:rsidRPr="00E364E3"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років і має бажання займатися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підприємницькою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діяльністю </w:t>
      </w:r>
    </w:p>
    <w:p w:rsidR="00BE69D5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9D5" w:rsidRPr="002139DD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9DD">
        <w:rPr>
          <w:rFonts w:ascii="Times New Roman" w:hAnsi="Times New Roman" w:cs="Times New Roman"/>
          <w:b/>
          <w:sz w:val="28"/>
          <w:szCs w:val="28"/>
          <w:lang w:val="uk-UA"/>
        </w:rPr>
        <w:t>4.5 Спрощена система оподаткування (1,2 млн людей)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t>Для того щоб перейти на спрощену систему оподаткування, обліку та звітності за єдиним податком, потрібно одержати Свідоцтво про сплату єдиного податку.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t>Для одержання Свідоцтва про сплату єдиного податку потрібно подати до органу Державної податкової служби за місцем державної реєстрації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C5264">
        <w:rPr>
          <w:rFonts w:ascii="Times New Roman" w:hAnsi="Times New Roman" w:cs="Times New Roman"/>
          <w:sz w:val="28"/>
          <w:szCs w:val="28"/>
        </w:rPr>
        <w:t>єкта підприємницької діяльності такі документи: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t>1) заяву про право застосування спрощеної системи оподаткування, обліку та звітності встановленої форми;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lastRenderedPageBreak/>
        <w:t>2) платіжний документ (квитанцію або копію платіжного доручення з позначкою банківської установи) про сплату (перерахування) єдиного податку за період, не менший ніж календарний місяць.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t>Заяву належить подати не пізніше ніж за 15 днів перед початком того календарного кварталу, у якому здійснюється перехід на сплату єдиного податку.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C5264">
        <w:rPr>
          <w:rFonts w:ascii="Times New Roman" w:hAnsi="Times New Roman" w:cs="Times New Roman"/>
          <w:sz w:val="28"/>
          <w:szCs w:val="28"/>
        </w:rPr>
        <w:t>язковою умовою для переходу на спрощену систему оподаткування, обліку та звітності за єдиним податком є сплата всіх встановлених податків та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C5264">
        <w:rPr>
          <w:rFonts w:ascii="Times New Roman" w:hAnsi="Times New Roman" w:cs="Times New Roman"/>
          <w:sz w:val="28"/>
          <w:szCs w:val="28"/>
        </w:rPr>
        <w:t>язкових платежів, термін сплати яких настав на дату подання заяви. СПД-фізична особа має право перейти на сплату єдиного податку з наступного звітного (податкового) періоду - календарного кварталу.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t>У заяві про перехід на єдиний податок потрібно вказати вид (види) підприємницької діяльності, а також місце її провадження. Незалежно від того, скільки видів налічує підприємницька діяльність, видається лише одне свідоцтво про сплату єдиного податку. У заяві потрібно записати точну адресу місця провадження підприємницької діяльності, просто назву міста чи району або взагалі зазначити "Україна", оскільки ставка єдиного податку не залежить від місця провадження підприємницької діяльності. У цьому документі потрібно вказати такі дані: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t>- обсяг виручки від реалізації продукції (товарів, робіт, послуг) від початку календарного року;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t>- чисельність працівників, з якими на день складання заяви укладено трудові угоди, зареєстровані за встановленим порядком (наймані працівники);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t>- поіменний склад осіб, які перебуватимуть у трудових відносинах з СПД-фізичною особою, та їх ідентифікаційні номери з Державного реєстру фізичних осіб - платників податків.</w:t>
      </w:r>
    </w:p>
    <w:p w:rsidR="00BE69D5" w:rsidRPr="00CC5264" w:rsidRDefault="00BE69D5" w:rsidP="00BE6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64">
        <w:rPr>
          <w:rFonts w:ascii="Times New Roman" w:hAnsi="Times New Roman" w:cs="Times New Roman"/>
          <w:sz w:val="28"/>
          <w:szCs w:val="28"/>
        </w:rPr>
        <w:t>Перед тим як одержати свідоцтво, належить сплатити авансову суму єдиного податку. Наприклад, подаючи заяву в березні, потрібно сплатити єдиний податок за квітень (втім, можна сплатити цей податок не лише за наступний місяць, а й за квартал і навіть за весь період до кінця календарного року).</w:t>
      </w:r>
    </w:p>
    <w:p w:rsidR="00BE69D5" w:rsidRPr="00FA46A0" w:rsidRDefault="00BE69D5" w:rsidP="00BE69D5">
      <w:pPr>
        <w:shd w:val="clear" w:color="auto" w:fill="FFFFFF"/>
        <w:spacing w:after="188" w:line="225" w:lineRule="atLeast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46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 и критерии соответствия для права находиться на упрощенной системе (Ставки единого налога)</w:t>
      </w:r>
    </w:p>
    <w:p w:rsidR="00BE69D5" w:rsidRPr="00FA46A0" w:rsidRDefault="00BE69D5" w:rsidP="00BE69D5">
      <w:pPr>
        <w:shd w:val="clear" w:color="auto" w:fill="FFFFFF"/>
        <w:spacing w:after="63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46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Всех упрощенцев  разделили на шесть групп.  Группы имеют разные критерии соответствия для права пребывания на упрощенной системе  и соответственно, разные ставки единого налога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2"/>
        <w:gridCol w:w="1744"/>
        <w:gridCol w:w="1791"/>
        <w:gridCol w:w="1990"/>
        <w:gridCol w:w="2208"/>
      </w:tblGrid>
      <w:tr w:rsidR="00BE69D5" w:rsidRPr="00A16933" w:rsidTr="00DB1274">
        <w:trPr>
          <w:trHeight w:val="1241"/>
          <w:jc w:val="center"/>
        </w:trPr>
        <w:tc>
          <w:tcPr>
            <w:tcW w:w="2460" w:type="dxa"/>
            <w:shd w:val="clear" w:color="auto" w:fill="F0F0F0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990000"/>
                <w:sz w:val="20"/>
                <w:szCs w:val="20"/>
                <w:lang w:eastAsia="ru-RU"/>
              </w:rPr>
              <w:t>Группы</w:t>
            </w:r>
            <w:r w:rsidRPr="00C233EB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shd w:val="clear" w:color="auto" w:fill="F0F0F0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990000"/>
                <w:sz w:val="20"/>
                <w:szCs w:val="20"/>
                <w:lang w:eastAsia="ru-RU"/>
              </w:rPr>
              <w:t>Количество наемных работников</w:t>
            </w:r>
            <w:r w:rsidRPr="00C233EB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F0F0F0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990000"/>
                <w:sz w:val="20"/>
                <w:szCs w:val="20"/>
                <w:lang w:eastAsia="ru-RU"/>
              </w:rPr>
              <w:t>Доход за календарный год, который предшествовал переходу на ЄП</w:t>
            </w:r>
            <w:r w:rsidRPr="00C233EB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0" w:type="dxa"/>
            <w:shd w:val="clear" w:color="auto" w:fill="F0F0F0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990000"/>
                <w:sz w:val="20"/>
                <w:szCs w:val="20"/>
                <w:lang w:eastAsia="ru-RU"/>
              </w:rPr>
              <w:t>Виды деятельности</w:t>
            </w:r>
            <w:r w:rsidRPr="00C233EB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30" w:type="dxa"/>
            <w:shd w:val="clear" w:color="auto" w:fill="F0F0F0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990000"/>
                <w:sz w:val="20"/>
                <w:szCs w:val="20"/>
                <w:lang w:eastAsia="ru-RU"/>
              </w:rPr>
              <w:t>Ставка ЕН : фиксированный % к минимальной зарплате (МЗП) по состоянию на 1 января или % к доходу</w:t>
            </w:r>
            <w:r w:rsidRPr="00C233EB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69D5" w:rsidRPr="00A16933" w:rsidTr="00DB1274">
        <w:trPr>
          <w:jc w:val="center"/>
        </w:trPr>
        <w:tc>
          <w:tcPr>
            <w:tcW w:w="24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(физлица -предприниматели)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наемных работников </w:t>
            </w:r>
          </w:p>
        </w:tc>
        <w:tc>
          <w:tcPr>
            <w:tcW w:w="19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превышает  </w:t>
            </w:r>
          </w:p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 грн</w:t>
            </w:r>
          </w:p>
        </w:tc>
        <w:tc>
          <w:tcPr>
            <w:tcW w:w="37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розничная продажа товаров 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из торговых мест на рынках, предоставление бытовых услуг населению </w:t>
            </w:r>
          </w:p>
        </w:tc>
        <w:tc>
          <w:tcPr>
            <w:tcW w:w="393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1% - 10%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минимальной 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зарплаты </w:t>
            </w:r>
          </w:p>
        </w:tc>
      </w:tr>
      <w:tr w:rsidR="00BE69D5" w:rsidRPr="00A16933" w:rsidTr="00DB1274">
        <w:trPr>
          <w:jc w:val="center"/>
        </w:trPr>
        <w:tc>
          <w:tcPr>
            <w:tcW w:w="24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 (физлица - предприниматели)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одновременно не превышает 10 лиц </w:t>
            </w:r>
          </w:p>
        </w:tc>
        <w:tc>
          <w:tcPr>
            <w:tcW w:w="19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превышает </w:t>
            </w:r>
          </w:p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1 000 000 грн</w:t>
            </w:r>
          </w:p>
        </w:tc>
        <w:tc>
          <w:tcPr>
            <w:tcW w:w="37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услуг, в т.ч. бытовых, плательщикам единого налога и/или населению- производство и/или продажа товаров- ресторанное хозяйство </w:t>
            </w:r>
          </w:p>
        </w:tc>
        <w:tc>
          <w:tcPr>
            <w:tcW w:w="393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2% - 20%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минимальной зарплаты</w:t>
            </w:r>
          </w:p>
        </w:tc>
      </w:tr>
      <w:tr w:rsidR="00BE69D5" w:rsidRPr="00A16933" w:rsidTr="00DB1274">
        <w:trPr>
          <w:jc w:val="center"/>
        </w:trPr>
        <w:tc>
          <w:tcPr>
            <w:tcW w:w="24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 (физлица -предприниматели)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одновременно не превышает 20 лиц</w:t>
            </w:r>
          </w:p>
        </w:tc>
        <w:tc>
          <w:tcPr>
            <w:tcW w:w="19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превышает   </w:t>
            </w:r>
          </w:p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 грн</w:t>
            </w:r>
          </w:p>
        </w:tc>
        <w:tc>
          <w:tcPr>
            <w:tcW w:w="37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деятельности с учетом ограничений (п. 291.5)</w:t>
            </w:r>
          </w:p>
        </w:tc>
        <w:tc>
          <w:tcPr>
            <w:tcW w:w="393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дохода в случае уплаты НДС;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б) </w:t>
            </w: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дохода  в случае включения НДС в состав единого налога</w:t>
            </w:r>
          </w:p>
        </w:tc>
      </w:tr>
      <w:tr w:rsidR="00BE69D5" w:rsidRPr="00A16933" w:rsidTr="00DB1274">
        <w:trPr>
          <w:jc w:val="center"/>
        </w:trPr>
        <w:tc>
          <w:tcPr>
            <w:tcW w:w="24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(юрлица)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среднеучетное количество работников не превышает 50 лиц</w:t>
            </w:r>
          </w:p>
        </w:tc>
        <w:tc>
          <w:tcPr>
            <w:tcW w:w="19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превышает </w:t>
            </w:r>
          </w:p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 грн</w:t>
            </w:r>
          </w:p>
        </w:tc>
        <w:tc>
          <w:tcPr>
            <w:tcW w:w="37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виды деятельности с учетом ограничений (п. 291.5) 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дохода в случае уплаты НДС;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б) </w:t>
            </w: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дохода  в случае включения НДС в состав единого налога</w:t>
            </w:r>
          </w:p>
        </w:tc>
      </w:tr>
      <w:tr w:rsidR="00BE69D5" w:rsidRPr="00A16933" w:rsidTr="00DB1274">
        <w:trPr>
          <w:trHeight w:val="1439"/>
          <w:jc w:val="center"/>
        </w:trPr>
        <w:tc>
          <w:tcPr>
            <w:tcW w:w="24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(физлица - предприниматели)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9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превышает</w:t>
            </w:r>
          </w:p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 грн</w:t>
            </w:r>
          </w:p>
        </w:tc>
        <w:tc>
          <w:tcPr>
            <w:tcW w:w="37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виды деятельности с учетом ограничений (п. 291.5) </w:t>
            </w:r>
          </w:p>
        </w:tc>
        <w:tc>
          <w:tcPr>
            <w:tcW w:w="393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дохода в случае уплаты НДС;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б) </w:t>
            </w: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дохода  в случае включения НДС в состав единого налога</w:t>
            </w:r>
          </w:p>
        </w:tc>
      </w:tr>
      <w:tr w:rsidR="00BE69D5" w:rsidRPr="00A16933" w:rsidTr="00DB1274">
        <w:trPr>
          <w:trHeight w:val="1596"/>
          <w:jc w:val="center"/>
        </w:trPr>
        <w:tc>
          <w:tcPr>
            <w:tcW w:w="24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(юрлица)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9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превышает  </w:t>
            </w:r>
          </w:p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 грн</w:t>
            </w:r>
          </w:p>
        </w:tc>
        <w:tc>
          <w:tcPr>
            <w:tcW w:w="378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виды деятельности с учетом ограничений (п. 291.5) 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BE69D5" w:rsidRPr="00C233EB" w:rsidRDefault="00BE69D5" w:rsidP="00D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дохода в случае уплаты НДС;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б) </w:t>
            </w:r>
            <w:r w:rsidRPr="00C23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7%</w:t>
            </w:r>
            <w:r w:rsidRPr="00C2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дохода  в случае включения НДС в состав единого налога</w:t>
            </w:r>
          </w:p>
        </w:tc>
      </w:tr>
    </w:tbl>
    <w:p w:rsidR="00BE69D5" w:rsidRDefault="00BE69D5" w:rsidP="00BE69D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9D5" w:rsidRPr="00EE2823" w:rsidRDefault="00BE69D5" w:rsidP="00BE69D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t>Какие бытовые услуги могут предоставлять плательщики единого налога (только ІІ - ІІІ групп):</w:t>
      </w:r>
    </w:p>
    <w:p w:rsidR="00BE69D5" w:rsidRPr="00EE2823" w:rsidRDefault="00BE69D5" w:rsidP="00BE6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t>1) изготовление обуви за индивидуальным заказом;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2) услуги по ремонту обуви;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3) изготовления швейных изделий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4) изготовления изделий из кожи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5) изготовление изделий из меха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6) изготовление нижней одежды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7) изготовление текстильных изделий и текстильной галантереи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8) изготовление головных уборов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9) дополнительные услуги по изготовлению изделий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10) услуги по ремонту одежды и бытовых текстильных изделий;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11) изготовление и вязание трикотажных изделий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12) услуги по ремонту трикотажных изделий;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13) изготовление ковров и ковровых изделий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14) услуги по ремонту и реставрации ковров и ковровых изделий;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15) изготовление кожаных галантерейных и дорожных изделий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16) услуги по ремонту кожаных галантерейных и дорожных изделий;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17) изготовление мебели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18) услуги по ремонту, реставрации и возобновлению мебели;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19) изготовление плотничьих и столярных изделий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20) техническое обслуживание и ремонт автомобилей, мотоциклов, мотороллеров и мопедов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21) услуги по ремонту радиотелевизионной и другой аудио- и видеоаппаратуры;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22) услуги по ремонту электробытовой техники и других бытовых приборов;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23) услуги по ремонту часов;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24) услуги по ремонту велосипедов;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25) услуги по техническому обслуживанию и ремонту музыкальных инструментов;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26) изготовление металлоизделий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27) услуги по ремонту других предметов личного пользования, домашнего потребления и металлоизделий;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28) изготовление ювелирных изделий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29) услуги по ремонту ювелирных изделий;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30) прокат вещей личного пользования и бытовых товаров;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31) услуги по выполнению фоторабот;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32) услуги по обработке пленок;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33) услуги по стирке, обработке белья и других текстильных изделий;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34) услуги по чистке и окрашиванию текстильных, трикотажных и пушных изделий;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35) дубление пушных шкур по индивидуальному заказу;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36) услуги парикмахерских;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37) ритуальные услуги;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38) услуги, связанные с сельским и лесным хозяйством;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39) услуги домашней прислуги;</w:t>
      </w:r>
      <w:r w:rsidRPr="00EE2823">
        <w:rPr>
          <w:rFonts w:ascii="Times New Roman" w:eastAsia="Times New Roman" w:hAnsi="Times New Roman" w:cs="Times New Roman"/>
          <w:color w:val="000000"/>
          <w:lang w:eastAsia="ru-RU"/>
        </w:rPr>
        <w:br/>
        <w:t>40) услуги, связанные с очисткой и уборкой помещений по индивидуальному заказу.</w:t>
      </w:r>
    </w:p>
    <w:p w:rsidR="00BE69D5" w:rsidRPr="00236A36" w:rsidRDefault="00BE69D5" w:rsidP="00BE6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9D5" w:rsidRPr="002139DD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Підприємець, який працює </w:t>
      </w:r>
      <w:r w:rsidRPr="002139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єдиним податком, не є платником таких видів податків і зборів (обов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</w:t>
      </w:r>
      <w:r w:rsidRPr="002139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язкових платежів):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податок на прибуток підприємств;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податок на доходи фізичних осіб (для фізичних осіб - підприємців);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податок на додану вартість з операцій з постачання товарів та послуг, місце надання яких розташоване на митній території України;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земельний податок, крім земельного податку за земельні ділянки, що не використовуються для ведення підприємницької діяльності;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ґ) плата за користування надрами;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збір за спеціальне використання води;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збір за спеціальне використання лісових ресурсів;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є) збір за провадження деяких видів підприємницької діяльності.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Перехід на єдиний податок не звільняє підприємця від сплати таких податків та зборів (обов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язкових платежів):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акцизного податку;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мита;</w:t>
      </w:r>
    </w:p>
    <w:p w:rsidR="00BE69D5" w:rsidRPr="002B1E72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державного мита;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збір за першу реєстрацію транспортного засобу;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екологічного податку;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збору на розвиток виноградарства, садівництва та хмелярства;</w:t>
      </w:r>
    </w:p>
    <w:p w:rsidR="00BE69D5" w:rsidRPr="00A16933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збору за використання радіочастотного ресурсу України;</w:t>
      </w:r>
    </w:p>
    <w:p w:rsidR="00BE69D5" w:rsidRPr="00236A36" w:rsidRDefault="00BE69D5" w:rsidP="00BE69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місцевих податків і зборів (крім збору за впровадження деяких видів підприємницької діяльності).</w:t>
      </w:r>
    </w:p>
    <w:p w:rsidR="00BE69D5" w:rsidRDefault="00BE69D5" w:rsidP="00BE69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/>
          <w:bCs/>
          <w:sz w:val="28"/>
          <w:szCs w:val="28"/>
        </w:rPr>
        <w:t>Не можуть бути платниками</w:t>
      </w:r>
      <w:r w:rsidRPr="000F541D">
        <w:rPr>
          <w:rFonts w:ascii="Times New Roman" w:hAnsi="Times New Roman" w:cs="Times New Roman"/>
          <w:bCs/>
          <w:sz w:val="28"/>
          <w:szCs w:val="28"/>
        </w:rPr>
        <w:t xml:space="preserve"> єдиного податку юридичні особи та фізичні особи - підприємці, які здійснюють:</w:t>
      </w:r>
    </w:p>
    <w:p w:rsidR="00BE69D5" w:rsidRPr="000F541D" w:rsidRDefault="00BE69D5" w:rsidP="00BE69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1.діяльність з організації, проведення азартних ігор;</w:t>
      </w:r>
    </w:p>
    <w:p w:rsidR="00BE69D5" w:rsidRPr="000F541D" w:rsidRDefault="00BE69D5" w:rsidP="00BE69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2.обмін іноземної валюти;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3.виробництво, експорт, імпорт, продаж підакцизних товарів (крім роздрібного продажу паливно-мастильних матеріалів в ємностях до 20 літрів та діяльності фізичних осіб, пов</w:t>
      </w:r>
      <w:r>
        <w:rPr>
          <w:rFonts w:ascii="Times New Roman" w:hAnsi="Times New Roman" w:cs="Times New Roman"/>
          <w:bCs/>
          <w:sz w:val="28"/>
          <w:szCs w:val="28"/>
        </w:rPr>
        <w:t>’</w:t>
      </w:r>
      <w:r w:rsidRPr="000F541D">
        <w:rPr>
          <w:rFonts w:ascii="Times New Roman" w:hAnsi="Times New Roman" w:cs="Times New Roman"/>
          <w:bCs/>
          <w:sz w:val="28"/>
          <w:szCs w:val="28"/>
        </w:rPr>
        <w:t>язаної з роздрібним продажем пива та столових вин);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4.видобуток, виробництво, реалізацію дорогоцінних металів і дорогоцінного каміння, у тому числі органогенного утворення (крім виробництва, постачання, продажу (реалізації) ювелірних та побутових виробів з дорогоцінних металів, дорогоцінного каміння, дорогоцінного каміння органогенного утворення та напівдорогоцінного каміння);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5.видобуток, реалізацію корисних копалин, крім реалізації корисних копалин місцевого значення;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6.діяльність у сфері фінансового посередництва, крім діяльності у сфері страхування, яка здійснюється страховими агентами, визначеними Законом України "Про страхування", сюрвейєрами, аварійними комісарами та аджастерами, визначеними розділом III цього Кодексу;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7.діяльність з управління підприємствами;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8.діяльність з надання послуг пошти (крім кур</w:t>
      </w:r>
      <w:r>
        <w:rPr>
          <w:rFonts w:ascii="Times New Roman" w:hAnsi="Times New Roman" w:cs="Times New Roman"/>
          <w:bCs/>
          <w:sz w:val="28"/>
          <w:szCs w:val="28"/>
        </w:rPr>
        <w:t>’</w:t>
      </w:r>
      <w:r w:rsidRPr="000F541D">
        <w:rPr>
          <w:rFonts w:ascii="Times New Roman" w:hAnsi="Times New Roman" w:cs="Times New Roman"/>
          <w:bCs/>
          <w:sz w:val="28"/>
          <w:szCs w:val="28"/>
        </w:rPr>
        <w:t>єрської діяльності) та зв</w:t>
      </w:r>
      <w:r>
        <w:rPr>
          <w:rFonts w:ascii="Times New Roman" w:hAnsi="Times New Roman" w:cs="Times New Roman"/>
          <w:bCs/>
          <w:sz w:val="28"/>
          <w:szCs w:val="28"/>
        </w:rPr>
        <w:t>’</w:t>
      </w:r>
      <w:r w:rsidRPr="000F541D">
        <w:rPr>
          <w:rFonts w:ascii="Times New Roman" w:hAnsi="Times New Roman" w:cs="Times New Roman"/>
          <w:bCs/>
          <w:sz w:val="28"/>
          <w:szCs w:val="28"/>
        </w:rPr>
        <w:t>язку (крім діяльності, що не підлягає ліцензуванню);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9.діяльність з продажу предметів мистецтва та антикваріату, діяльність з організації торгів (аукціонів) виробами мистецтва, предметами колекціонування або антикваріату;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10.діяльність з організації, проведення гастрольних заходів;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11.291.5.2. фізичні особи - підприємці, які здійснюють технічні випробування та дослідження (група 74.3 КВЕД ДК 009:2005), діяльність у сфері аудиту;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12.291.5.3. фізичні особи - підприємці, які надають в оренду земельні ділянки, загальна площа яких перевищує 0,2 гектара, житлові приміщення та/або їх частини, загальна площа яких перевищує 100 квадратних метрів, нежитлові приміщення (споруди, будівлі) та/або їх частини, загальна площа яких перевищує 300 квадратних метрів;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 xml:space="preserve">13.291.5.4. страхові (перестрахові) брокери, банки, кредитні спілки, ломбарди, лізингові компанії, довірчі товариства, страхові компанії, установи </w:t>
      </w:r>
      <w:r w:rsidRPr="000F541D">
        <w:rPr>
          <w:rFonts w:ascii="Times New Roman" w:hAnsi="Times New Roman" w:cs="Times New Roman"/>
          <w:bCs/>
          <w:sz w:val="28"/>
          <w:szCs w:val="28"/>
        </w:rPr>
        <w:lastRenderedPageBreak/>
        <w:t>накопичувального пенсійного забезпечення, інвестиційні фонди і компанії, інші фінансові установи, визначені законом; реєстратори цінних паперів;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14.291.5.5. суб</w:t>
      </w:r>
      <w:r>
        <w:rPr>
          <w:rFonts w:ascii="Times New Roman" w:hAnsi="Times New Roman" w:cs="Times New Roman"/>
          <w:bCs/>
          <w:sz w:val="28"/>
          <w:szCs w:val="28"/>
        </w:rPr>
        <w:t>’</w:t>
      </w:r>
      <w:r w:rsidRPr="000F541D">
        <w:rPr>
          <w:rFonts w:ascii="Times New Roman" w:hAnsi="Times New Roman" w:cs="Times New Roman"/>
          <w:bCs/>
          <w:sz w:val="28"/>
          <w:szCs w:val="28"/>
        </w:rPr>
        <w:t>єкти господарювання, у статутному капіталі яких сукупність часток, що належать юридичним особам, які не є платниками єдиного податку, дорівнює або перевищує 25 відсотків;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15.291.5.6. представництва, філії, відділення та інші відокремлені підрозділи юридичної особи, яка не є платником єдиного податку;</w:t>
      </w:r>
    </w:p>
    <w:p w:rsidR="00BE69D5" w:rsidRPr="000F541D" w:rsidRDefault="00BE69D5" w:rsidP="00BE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16.291.5.7. фізичні та юридичні особи - нерезиденти;</w:t>
      </w:r>
    </w:p>
    <w:p w:rsidR="00BE69D5" w:rsidRPr="00C233EB" w:rsidRDefault="00BE69D5" w:rsidP="00BE69D5">
      <w:pPr>
        <w:spacing w:after="0" w:line="240" w:lineRule="auto"/>
        <w:jc w:val="both"/>
        <w:rPr>
          <w:lang w:val="en-US"/>
        </w:rPr>
      </w:pPr>
      <w:r w:rsidRPr="000F541D">
        <w:rPr>
          <w:rFonts w:ascii="Times New Roman" w:hAnsi="Times New Roman" w:cs="Times New Roman"/>
          <w:bCs/>
          <w:sz w:val="28"/>
          <w:szCs w:val="28"/>
        </w:rPr>
        <w:t>17.291.5.8. суб</w:t>
      </w:r>
      <w:r>
        <w:rPr>
          <w:rFonts w:ascii="Times New Roman" w:hAnsi="Times New Roman" w:cs="Times New Roman"/>
          <w:bCs/>
          <w:sz w:val="28"/>
          <w:szCs w:val="28"/>
        </w:rPr>
        <w:t>’</w:t>
      </w:r>
      <w:r w:rsidRPr="000F541D">
        <w:rPr>
          <w:rFonts w:ascii="Times New Roman" w:hAnsi="Times New Roman" w:cs="Times New Roman"/>
          <w:bCs/>
          <w:sz w:val="28"/>
          <w:szCs w:val="28"/>
        </w:rPr>
        <w:t>єкти господарювання, які на день подання заяви про реєстрацію платником єдиного податку мають податковий борг, крім безнадійного податкового боргу, що виник внаслідок дії обставин непереборної сили (форс-мажорних обставин).</w:t>
      </w:r>
    </w:p>
    <w:p w:rsidR="008F2676" w:rsidRDefault="008F2676"/>
    <w:sectPr w:rsidR="008F2676" w:rsidSect="008F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933"/>
    <w:multiLevelType w:val="hybridMultilevel"/>
    <w:tmpl w:val="E434469A"/>
    <w:lvl w:ilvl="0" w:tplc="02E0BB3E">
      <w:start w:val="1"/>
      <w:numFmt w:val="decimal"/>
      <w:suff w:val="space"/>
      <w:lvlText w:val="%1"/>
      <w:lvlJc w:val="left"/>
      <w:pPr>
        <w:ind w:left="303" w:firstLine="57"/>
      </w:pPr>
      <w:rPr>
        <w:rFonts w:hint="default"/>
      </w:rPr>
    </w:lvl>
    <w:lvl w:ilvl="1" w:tplc="877AEE28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0660F"/>
    <w:multiLevelType w:val="hybridMultilevel"/>
    <w:tmpl w:val="F0242EDC"/>
    <w:lvl w:ilvl="0" w:tplc="8F1CB12C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</w:lvl>
    <w:lvl w:ilvl="1" w:tplc="877AEE28">
      <w:start w:val="1"/>
      <w:numFmt w:val="bullet"/>
      <w:lvlText w:val=""/>
      <w:lvlJc w:val="left"/>
      <w:pPr>
        <w:tabs>
          <w:tab w:val="num" w:pos="2160"/>
        </w:tabs>
        <w:ind w:left="1091" w:firstLine="709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compat/>
  <w:rsids>
    <w:rsidRoot w:val="00BE69D5"/>
    <w:rsid w:val="004A1BEF"/>
    <w:rsid w:val="004B5373"/>
    <w:rsid w:val="005F118D"/>
    <w:rsid w:val="008F2676"/>
    <w:rsid w:val="00BE69D5"/>
    <w:rsid w:val="00F7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BE6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3020</Words>
  <Characters>17215</Characters>
  <Application>Microsoft Office Word</Application>
  <DocSecurity>0</DocSecurity>
  <Lines>143</Lines>
  <Paragraphs>40</Paragraphs>
  <ScaleCrop>false</ScaleCrop>
  <Company/>
  <LinksUpToDate>false</LinksUpToDate>
  <CharactersWithSpaces>20195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2014-08-24T21:53:00Z</dcterms:created>
  <dcterms:modified xsi:type="dcterms:W3CDTF">2014-08-24T21:53:00Z</dcterms:modified>
</cp:coreProperties>
</file>