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sz w:val="28"/>
          <w:rtl w:val="0"/>
        </w:rPr>
        <w:t xml:space="preserve">Змістовний модуль 1. Методологія сучасного наукового пізнання </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sz w:val="28"/>
          <w:rtl w:val="0"/>
        </w:rPr>
        <w:t xml:space="preserve">Тема 1. Методологічний інструментарій сучасної науки Поняття методу та методології. </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8"/>
          <w:rtl w:val="0"/>
        </w:rPr>
        <w:t xml:space="preserve">Багаторівнева концепція методологічного знання. Наукове дослідження в методологічному осмисленні (предмет, засоби, цілі, мотиви). Структура, механізми обґрунтування та критерії наукового методу. Методи емпіричного та теоретичного дослідження. Аргументація, обґрунтування та систематизація результатів наукового дослідження, розуміння, визначення, цінність та мова науки</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