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3. Технології активізації та інтенсифікації пізнавальної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 Ігрові технології в соціології. Концептуальні основі ігрових технологій. Ділові ігри. Технологія проблемного навчання. Особливості технології проблемного навчання.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