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rtl w:val="0"/>
        </w:rPr>
        <w:t xml:space="preserve">Тема 4. Технології інтенсифікації пізнання на основі схемних та знакових моделей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8"/>
          <w:rtl w:val="0"/>
        </w:rPr>
        <w:t xml:space="preserve">Сутність та принципи технології. Особливості змісту та методики інтенсифікації пізнання. Класифікація схемних та знакових моделей. Принципи побудови схемних та знакових моделей. 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