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09" w:rsidRPr="00F45509" w:rsidRDefault="00F45509" w:rsidP="00F45509">
      <w:pPr>
        <w:jc w:val="center"/>
        <w:rPr>
          <w:b/>
          <w:sz w:val="28"/>
          <w:szCs w:val="28"/>
        </w:rPr>
      </w:pPr>
      <w:r w:rsidRPr="00F45509">
        <w:rPr>
          <w:b/>
          <w:sz w:val="28"/>
          <w:szCs w:val="28"/>
        </w:rPr>
        <w:t>Система накопичення балів</w:t>
      </w:r>
    </w:p>
    <w:p w:rsidR="00F45509" w:rsidRDefault="00F45509" w:rsidP="00F45509"/>
    <w:p w:rsidR="00F45509" w:rsidRDefault="00F45509" w:rsidP="00F45509"/>
    <w:p w:rsidR="00F45509" w:rsidRDefault="00F45509" w:rsidP="00F45509">
      <w:r>
        <w:t xml:space="preserve">1. Відповіді на практичних заняттях – 1-5 б. </w:t>
      </w:r>
    </w:p>
    <w:p w:rsidR="00F45509" w:rsidRDefault="00F45509" w:rsidP="00F45509">
      <w:r>
        <w:t>2. Доповнення на практичному занятті – 1-3 б.</w:t>
      </w:r>
    </w:p>
    <w:p w:rsidR="00F45509" w:rsidRDefault="00F45509" w:rsidP="00F45509">
      <w:r>
        <w:t xml:space="preserve">3. Виконання самостійної роботи – 20 б. (кожна). </w:t>
      </w:r>
    </w:p>
    <w:p w:rsidR="00F45509" w:rsidRDefault="00F45509" w:rsidP="00F45509">
      <w:r>
        <w:t xml:space="preserve">4. Підготовка повідомлення чи реферату (відповідно з його захистом) – 5 / 20 / 5 б. </w:t>
      </w:r>
    </w:p>
    <w:p w:rsidR="00F45509" w:rsidRDefault="00F45509" w:rsidP="00F45509">
      <w:r>
        <w:t xml:space="preserve">        Оцінка «</w:t>
      </w:r>
      <w:r w:rsidRPr="00A75A3F">
        <w:rPr>
          <w:b/>
        </w:rPr>
        <w:t>Відмінно</w:t>
      </w:r>
      <w:r>
        <w:t>» (</w:t>
      </w:r>
      <w:r w:rsidRPr="00A75A3F">
        <w:rPr>
          <w:b/>
        </w:rPr>
        <w:t>А 90-100</w:t>
      </w:r>
      <w:r>
        <w:rPr>
          <w:b/>
        </w:rPr>
        <w:t xml:space="preserve"> балів</w:t>
      </w:r>
      <w:r>
        <w:t xml:space="preserve">) ставиться тоді, коли студент правильно здійснює цілісний </w:t>
      </w:r>
      <w:r>
        <w:t>проблемний аналіз творів</w:t>
      </w:r>
      <w:r>
        <w:t>, уміє їх класифікувати, визначати основні компоненти та одиниці тексту, характеризувати заголовки, застосовує різнорідні мовознавчі методи аналізу тексту, уміє працювати з науковою літературою, правильно інтегрує текст одиницями різного рівня : фонетичного, лексичного, морфологічного, синтаксичного, виявляє здатність до самостійної творчості. Відповідь студента логічна, аргументована і грамотно</w:t>
      </w:r>
      <w:bookmarkStart w:id="0" w:name="_GoBack"/>
      <w:bookmarkEnd w:id="0"/>
      <w:r>
        <w:t xml:space="preserve"> оформлена. Немає мовленнєвих, граматичних, орфоепічних, стилістичних помилок. </w:t>
      </w:r>
    </w:p>
    <w:p w:rsidR="00F45509" w:rsidRDefault="00F45509" w:rsidP="00F45509">
      <w:r>
        <w:t xml:space="preserve">     Оцінка «</w:t>
      </w:r>
      <w:r w:rsidRPr="00A75A3F">
        <w:rPr>
          <w:b/>
        </w:rPr>
        <w:t>Добре</w:t>
      </w:r>
      <w:r>
        <w:t>» (</w:t>
      </w:r>
      <w:r w:rsidRPr="00F42CB1">
        <w:rPr>
          <w:b/>
        </w:rPr>
        <w:t>ВС 75-89</w:t>
      </w:r>
      <w:r>
        <w:rPr>
          <w:b/>
        </w:rPr>
        <w:t xml:space="preserve"> балів</w:t>
      </w:r>
      <w:r>
        <w:t xml:space="preserve">) ставиться за тих умов, коли студент в основному орієнтується у змісті питань, з поодинокими недоліками здійснює цілісний </w:t>
      </w:r>
      <w:r>
        <w:t>аналіз</w:t>
      </w:r>
      <w:r>
        <w:t>, визначає основні компоненти та одиниці тексту, характеризує заголовки до текстів та основні текстові категорії, майже правильно інтегрує текст одиницями різного рівня : фонетичного, лексичного, морфологічного, синтаксичного. Недостатньо самостійний в оцінках, не розуміє деяких нюансів конкретної проблеми. допускає окремі мовленнєві та стилістичні помилки.</w:t>
      </w:r>
    </w:p>
    <w:p w:rsidR="00F45509" w:rsidRDefault="00F45509" w:rsidP="00F45509">
      <w:r>
        <w:t xml:space="preserve">       Оцінка «</w:t>
      </w:r>
      <w:r w:rsidRPr="00F42CB1">
        <w:rPr>
          <w:b/>
        </w:rPr>
        <w:t>Задовільно</w:t>
      </w:r>
      <w:r>
        <w:t>» (</w:t>
      </w:r>
      <w:r w:rsidRPr="00F42CB1">
        <w:rPr>
          <w:b/>
          <w:lang w:val="en-US"/>
        </w:rPr>
        <w:t>DE</w:t>
      </w:r>
      <w:r w:rsidRPr="00F42CB1">
        <w:rPr>
          <w:b/>
        </w:rPr>
        <w:t xml:space="preserve"> 60-74</w:t>
      </w:r>
      <w:r>
        <w:rPr>
          <w:b/>
        </w:rPr>
        <w:t xml:space="preserve"> бали</w:t>
      </w:r>
      <w:r>
        <w:t xml:space="preserve">) ставиться, якщо студент викладає матеріал не повно, плутається у використанні термінології, не може дати конкретної відповіді на окремі питання. Допускає багато мовленнєвих та інших помилок. </w:t>
      </w:r>
    </w:p>
    <w:p w:rsidR="00F45509" w:rsidRDefault="00F45509" w:rsidP="00F45509">
      <w:r>
        <w:t xml:space="preserve">       Оцінка «</w:t>
      </w:r>
      <w:r w:rsidRPr="00F42CB1">
        <w:rPr>
          <w:b/>
        </w:rPr>
        <w:t>Незадовільно</w:t>
      </w:r>
      <w:r>
        <w:t>» (</w:t>
      </w:r>
      <w:r w:rsidRPr="004B4AF0">
        <w:rPr>
          <w:b/>
          <w:color w:val="000000"/>
          <w:spacing w:val="-2"/>
          <w:sz w:val="22"/>
          <w:szCs w:val="22"/>
        </w:rPr>
        <w:t>FX 35-59 балів</w:t>
      </w:r>
      <w:r>
        <w:rPr>
          <w:color w:val="000000"/>
          <w:spacing w:val="-2"/>
          <w:sz w:val="22"/>
          <w:szCs w:val="22"/>
        </w:rPr>
        <w:t xml:space="preserve">) </w:t>
      </w:r>
      <w:r>
        <w:t xml:space="preserve"> ставиться, коли студент виявляє незнання більшої частини матеріалу, не вміє здійснювати </w:t>
      </w:r>
      <w:r>
        <w:t>аналіз творів</w:t>
      </w:r>
      <w:r>
        <w:t xml:space="preserve">, неправильно характеризує заголовки до текстів та основні текстові категорії, не застосовує різнорідні мовознавчі методи аналізу тексту, не вміє працювати з науковою літературою, неправильно інтегрує текст одиницями різного рівня: фонетичного, лексичного, морфологічного, синтаксичного, не виконав завдань не виявляє здатності до самостійної творчості. Допускає багато різнопланових помилок.  </w:t>
      </w:r>
    </w:p>
    <w:p w:rsidR="00F45509" w:rsidRPr="00640BEF" w:rsidRDefault="00F45509" w:rsidP="00F45509">
      <w:pPr>
        <w:spacing w:after="120"/>
        <w:jc w:val="center"/>
        <w:rPr>
          <w:b/>
          <w:bCs/>
        </w:rPr>
      </w:pPr>
      <w:r w:rsidRPr="00640BEF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F45509" w:rsidRPr="0068386F" w:rsidTr="004D575B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F45509" w:rsidRPr="0068386F" w:rsidRDefault="00F45509" w:rsidP="004D575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68386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F45509" w:rsidRPr="0068386F" w:rsidRDefault="00F45509" w:rsidP="004D575B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68386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F45509" w:rsidRPr="0068386F" w:rsidRDefault="00F45509" w:rsidP="004D575B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68386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F45509" w:rsidRPr="0068386F" w:rsidRDefault="00F45509" w:rsidP="004D575B">
            <w:pPr>
              <w:jc w:val="center"/>
              <w:rPr>
                <w:b/>
                <w:sz w:val="22"/>
              </w:rPr>
            </w:pPr>
            <w:r w:rsidRPr="0068386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F45509" w:rsidRPr="0068386F" w:rsidRDefault="00F45509" w:rsidP="004D575B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8386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F45509" w:rsidRPr="00A66747" w:rsidTr="004D575B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45509" w:rsidRPr="0075481D" w:rsidRDefault="00F45509" w:rsidP="004D575B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F45509" w:rsidRPr="0075481D" w:rsidRDefault="00F45509" w:rsidP="004D575B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F45509" w:rsidRPr="00A66747" w:rsidRDefault="00F45509" w:rsidP="004D575B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:rsidR="00F45509" w:rsidRPr="00A66747" w:rsidRDefault="00F45509" w:rsidP="004D575B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F45509" w:rsidRPr="00A66747" w:rsidTr="004D575B">
        <w:trPr>
          <w:cantSplit/>
          <w:jc w:val="center"/>
        </w:trPr>
        <w:tc>
          <w:tcPr>
            <w:tcW w:w="1725" w:type="dxa"/>
            <w:vAlign w:val="center"/>
          </w:tcPr>
          <w:p w:rsidR="00F45509" w:rsidRPr="00A66747" w:rsidRDefault="00F45509" w:rsidP="004D575B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45509" w:rsidRPr="00820B54" w:rsidRDefault="00F45509" w:rsidP="004D575B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45509" w:rsidRPr="00A66747" w:rsidRDefault="00F45509" w:rsidP="004D575B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F45509" w:rsidRPr="00A66747" w:rsidTr="004D575B">
        <w:trPr>
          <w:cantSplit/>
          <w:jc w:val="center"/>
        </w:trPr>
        <w:tc>
          <w:tcPr>
            <w:tcW w:w="1725" w:type="dxa"/>
            <w:vAlign w:val="center"/>
          </w:tcPr>
          <w:p w:rsidR="00F45509" w:rsidRPr="00A66747" w:rsidRDefault="00F45509" w:rsidP="004D575B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F45509" w:rsidRPr="00A66747" w:rsidTr="004D575B">
        <w:trPr>
          <w:cantSplit/>
          <w:jc w:val="center"/>
        </w:trPr>
        <w:tc>
          <w:tcPr>
            <w:tcW w:w="1725" w:type="dxa"/>
            <w:vAlign w:val="center"/>
          </w:tcPr>
          <w:p w:rsidR="00F45509" w:rsidRPr="00A66747" w:rsidRDefault="00F45509" w:rsidP="004D575B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F45509" w:rsidRPr="00A66747" w:rsidTr="004D575B">
        <w:trPr>
          <w:cantSplit/>
          <w:jc w:val="center"/>
        </w:trPr>
        <w:tc>
          <w:tcPr>
            <w:tcW w:w="1725" w:type="dxa"/>
            <w:vAlign w:val="center"/>
          </w:tcPr>
          <w:p w:rsidR="00F45509" w:rsidRPr="00A66747" w:rsidRDefault="00F45509" w:rsidP="004D575B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F45509" w:rsidRPr="00A66747" w:rsidTr="004D575B">
        <w:trPr>
          <w:cantSplit/>
          <w:jc w:val="center"/>
        </w:trPr>
        <w:tc>
          <w:tcPr>
            <w:tcW w:w="1725" w:type="dxa"/>
            <w:vAlign w:val="center"/>
          </w:tcPr>
          <w:p w:rsidR="00F45509" w:rsidRPr="00A66747" w:rsidRDefault="00F45509" w:rsidP="004D575B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F45509" w:rsidRPr="00A66747" w:rsidTr="004D575B">
        <w:trPr>
          <w:cantSplit/>
          <w:jc w:val="center"/>
        </w:trPr>
        <w:tc>
          <w:tcPr>
            <w:tcW w:w="1725" w:type="dxa"/>
            <w:vAlign w:val="center"/>
          </w:tcPr>
          <w:p w:rsidR="00F45509" w:rsidRPr="00A66747" w:rsidRDefault="00F45509" w:rsidP="004D575B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F45509" w:rsidRPr="00A66747" w:rsidTr="004D575B">
        <w:trPr>
          <w:cantSplit/>
          <w:jc w:val="center"/>
        </w:trPr>
        <w:tc>
          <w:tcPr>
            <w:tcW w:w="1725" w:type="dxa"/>
            <w:vAlign w:val="center"/>
          </w:tcPr>
          <w:p w:rsidR="00F45509" w:rsidRPr="00A66747" w:rsidRDefault="00F45509" w:rsidP="004D575B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F45509" w:rsidRPr="00A66747" w:rsidRDefault="00F45509" w:rsidP="004D575B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F45509" w:rsidRPr="00A66747" w:rsidRDefault="00F45509" w:rsidP="004D575B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F45509" w:rsidRPr="00A66747" w:rsidRDefault="00F45509" w:rsidP="00F45509">
      <w:pPr>
        <w:shd w:val="clear" w:color="auto" w:fill="FFFFFF"/>
        <w:tabs>
          <w:tab w:val="left" w:pos="979"/>
        </w:tabs>
        <w:ind w:left="567" w:hanging="567"/>
        <w:rPr>
          <w:color w:val="000000"/>
          <w:sz w:val="22"/>
          <w:szCs w:val="22"/>
        </w:rPr>
      </w:pPr>
    </w:p>
    <w:p w:rsidR="00D20284" w:rsidRDefault="00D20284"/>
    <w:sectPr w:rsidR="00D2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71"/>
    <w:rsid w:val="00B44771"/>
    <w:rsid w:val="00D20284"/>
    <w:rsid w:val="00F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00093-1FED-42AB-A318-41502AC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F4550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45509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F45509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F45509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F45509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5509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F45509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F455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550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2021-08-30T11:02:00Z</dcterms:created>
  <dcterms:modified xsi:type="dcterms:W3CDTF">2021-08-30T11:05:00Z</dcterms:modified>
</cp:coreProperties>
</file>