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ind w:firstLine="709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rtl w:val="0"/>
        </w:rPr>
        <w:t xml:space="preserve">Критерії оцінювання </w:t>
      </w:r>
    </w:p>
    <w:p w:rsidR="00000000" w:rsidDel="00000000" w:rsidP="00000000" w:rsidRDefault="00000000" w:rsidRPr="00000000">
      <w:pPr>
        <w:spacing w:line="240" w:lineRule="auto"/>
        <w:ind w:firstLine="709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Контроль рівня знань студентів щодо засвоєння ними тем з навчальної дисципліни «Апарати державного управління» включає:</w:t>
      </w:r>
    </w:p>
    <w:p w:rsidR="00000000" w:rsidDel="00000000" w:rsidP="00000000" w:rsidRDefault="00000000" w:rsidRPr="00000000">
      <w:pPr>
        <w:spacing w:line="240" w:lineRule="auto"/>
        <w:ind w:firstLine="709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rtl w:val="0"/>
        </w:rPr>
        <w:t xml:space="preserve">Поточний контроль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здійснюється під час проведення семінарських занять і має на меті перевірку рівня підготовленості студента до виконання конкретних завдань.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u w:val="single"/>
          <w:rtl w:val="0"/>
        </w:rPr>
        <w:t xml:space="preserve">Оцінювання відповідей на семінарському занятті:</w:t>
      </w:r>
    </w:p>
    <w:p w:rsidR="00000000" w:rsidDel="00000000" w:rsidP="00000000" w:rsidRDefault="00000000" w:rsidRPr="00000000">
      <w:pPr>
        <w:tabs>
          <w:tab w:val="left" w:pos="720"/>
        </w:tabs>
        <w:spacing w:line="240" w:lineRule="auto"/>
        <w:ind w:left="1080" w:hanging="90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5 балів – чітка повна змістовна відповідь на питання, оперування багатьма теоретичними джерелами, висока аргументованість відповіді, переконливе демонстрування власної авторської позиції;</w:t>
      </w:r>
    </w:p>
    <w:p w:rsidR="00000000" w:rsidDel="00000000" w:rsidP="00000000" w:rsidRDefault="00000000" w:rsidRPr="00000000">
      <w:pPr>
        <w:tabs>
          <w:tab w:val="left" w:pos="720"/>
        </w:tabs>
        <w:spacing w:line="240" w:lineRule="auto"/>
        <w:ind w:left="1080" w:hanging="90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4 бали – все вище перелічене, але при відсутності авторської позиції;</w:t>
      </w:r>
    </w:p>
    <w:p w:rsidR="00000000" w:rsidDel="00000000" w:rsidP="00000000" w:rsidRDefault="00000000" w:rsidRPr="00000000">
      <w:pPr>
        <w:tabs>
          <w:tab w:val="left" w:pos="720"/>
        </w:tabs>
        <w:spacing w:line="240" w:lineRule="auto"/>
        <w:ind w:left="1080" w:hanging="90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3 бали –  хороше відтворення матеріалу з одного джерела. </w:t>
      </w:r>
    </w:p>
    <w:p w:rsidR="00000000" w:rsidDel="00000000" w:rsidP="00000000" w:rsidRDefault="00000000" w:rsidRPr="00000000">
      <w:pPr>
        <w:tabs>
          <w:tab w:val="left" w:pos="720"/>
        </w:tabs>
        <w:spacing w:line="240" w:lineRule="auto"/>
        <w:ind w:left="1080" w:hanging="90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2 бали – змістовне доповнення;</w:t>
      </w:r>
    </w:p>
    <w:p w:rsidR="00000000" w:rsidDel="00000000" w:rsidP="00000000" w:rsidRDefault="00000000" w:rsidRPr="00000000">
      <w:pPr>
        <w:spacing w:line="240" w:lineRule="auto"/>
        <w:ind w:left="18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1 бал   – поверховий виклад матеріалу;</w:t>
      </w:r>
    </w:p>
    <w:p w:rsidR="00000000" w:rsidDel="00000000" w:rsidP="00000000" w:rsidRDefault="00000000" w:rsidRPr="00000000">
      <w:pPr>
        <w:spacing w:line="240" w:lineRule="auto"/>
        <w:ind w:left="18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0 балів – відсутність відповіді.</w:t>
      </w:r>
    </w:p>
    <w:p w:rsidR="00000000" w:rsidDel="00000000" w:rsidP="00000000" w:rsidRDefault="00000000" w:rsidRPr="00000000">
      <w:pPr>
        <w:spacing w:line="240" w:lineRule="auto"/>
        <w:ind w:firstLine="709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rtl w:val="0"/>
        </w:rPr>
        <w:t xml:space="preserve">Рубіжний підсумковий контроль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проводиться по завершенні вивчення змістовного модуля у вигляді контрольної роботи або тестування.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u w:val="single"/>
          <w:rtl w:val="0"/>
        </w:rPr>
        <w:t xml:space="preserve">Оцінювання модульних контрольних робіт: </w:t>
      </w:r>
    </w:p>
    <w:p w:rsidR="00000000" w:rsidDel="00000000" w:rsidP="00000000" w:rsidRDefault="00000000" w:rsidRPr="00000000">
      <w:pPr>
        <w:spacing w:line="240" w:lineRule="auto"/>
        <w:ind w:left="18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9-10 балів – повна змістовна відповідь на всі завдання, оперування багатьма теоретичними</w:t>
      </w:r>
    </w:p>
    <w:p w:rsidR="00000000" w:rsidDel="00000000" w:rsidP="00000000" w:rsidRDefault="00000000" w:rsidRPr="00000000">
      <w:pPr>
        <w:spacing w:line="240" w:lineRule="auto"/>
        <w:ind w:left="18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                       джерелами, висока аргументованість відповіді, </w:t>
      </w:r>
    </w:p>
    <w:p w:rsidR="00000000" w:rsidDel="00000000" w:rsidP="00000000" w:rsidRDefault="00000000" w:rsidRPr="00000000">
      <w:pPr>
        <w:spacing w:line="240" w:lineRule="auto"/>
        <w:ind w:left="18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                       переконливе демонстрування власної авторської позиції;</w:t>
      </w:r>
    </w:p>
    <w:p w:rsidR="00000000" w:rsidDel="00000000" w:rsidP="00000000" w:rsidRDefault="00000000" w:rsidRPr="00000000">
      <w:pPr>
        <w:spacing w:line="240" w:lineRule="auto"/>
        <w:ind w:left="18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6-8 балів   –   авторська позиція заявлена, але повністю не обґрунтована, викладення </w:t>
      </w:r>
    </w:p>
    <w:p w:rsidR="00000000" w:rsidDel="00000000" w:rsidP="00000000" w:rsidRDefault="00000000" w:rsidRPr="00000000">
      <w:pPr>
        <w:spacing w:line="240" w:lineRule="auto"/>
        <w:ind w:left="18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                       матеріалу засноване на знанні джерел, але без аналітичної позиції;</w:t>
      </w:r>
    </w:p>
    <w:p w:rsidR="00000000" w:rsidDel="00000000" w:rsidP="00000000" w:rsidRDefault="00000000" w:rsidRPr="00000000">
      <w:pPr>
        <w:spacing w:line="240" w:lineRule="auto"/>
        <w:ind w:left="18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4-5 балів   –   поверховий виклад матеріалу, слабке знання теоретичних джерел;</w:t>
      </w:r>
    </w:p>
    <w:p w:rsidR="00000000" w:rsidDel="00000000" w:rsidP="00000000" w:rsidRDefault="00000000" w:rsidRPr="00000000">
      <w:pPr>
        <w:spacing w:line="240" w:lineRule="auto"/>
        <w:ind w:left="18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1-3 бали   –    короткий поверховий виклад матеріалу, нечіткі та помилкові визначення </w:t>
      </w:r>
    </w:p>
    <w:p w:rsidR="00000000" w:rsidDel="00000000" w:rsidP="00000000" w:rsidRDefault="00000000" w:rsidRPr="00000000">
      <w:pPr>
        <w:spacing w:line="240" w:lineRule="auto"/>
        <w:ind w:left="18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                       понять;</w:t>
      </w:r>
    </w:p>
    <w:p w:rsidR="00000000" w:rsidDel="00000000" w:rsidP="00000000" w:rsidRDefault="00000000" w:rsidRPr="00000000">
      <w:pPr>
        <w:spacing w:line="240" w:lineRule="auto"/>
        <w:ind w:left="18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0 балів      –   відсутність відповідей.</w:t>
      </w:r>
    </w:p>
    <w:p w:rsidR="00000000" w:rsidDel="00000000" w:rsidP="00000000" w:rsidRDefault="00000000" w:rsidRPr="00000000">
      <w:pPr>
        <w:spacing w:line="240" w:lineRule="auto"/>
        <w:ind w:firstLine="709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rtl w:val="0"/>
        </w:rPr>
        <w:t xml:space="preserve">Підсумковий контроль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rtl w:val="0"/>
        </w:rPr>
        <w:t xml:space="preserve">проводиться по закінченні вивчення курсу з метою оцінювання результатів вивчення навчального курсу на завершальному етапі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firstLine="72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rtl w:val="0"/>
        </w:rPr>
        <w:t xml:space="preserve">Розрахунок рейтингових балів за видами поточного (модульного) контролю</w:t>
      </w:r>
    </w:p>
    <w:tbl>
      <w:tblPr>
        <w:tblStyle w:val="Table1"/>
        <w:bidi w:val="0"/>
        <w:tblW w:w="9360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"/>
        <w:gridCol w:w="4540"/>
        <w:gridCol w:w="1660"/>
        <w:gridCol w:w="1320"/>
        <w:gridCol w:w="1280"/>
        <w:tblGridChange w:id="0">
          <w:tblGrid>
            <w:gridCol w:w="560"/>
            <w:gridCol w:w="4540"/>
            <w:gridCol w:w="1660"/>
            <w:gridCol w:w="1320"/>
            <w:gridCol w:w="12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rtl w:val="0"/>
              </w:rPr>
              <w:t xml:space="preserve">Вид діяльності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rtl w:val="0"/>
              </w:rPr>
              <w:t xml:space="preserve">Коефіцієнт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rtl w:val="0"/>
              </w:rPr>
              <w:t xml:space="preserve">(вартість виду)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rtl w:val="0"/>
              </w:rPr>
              <w:t xml:space="preserve">робіт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rtl w:val="0"/>
              </w:rPr>
              <w:t xml:space="preserve">Результат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line="240" w:lineRule="auto"/>
              <w:ind w:left="51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Індивідуальні завдання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20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line="240" w:lineRule="auto"/>
              <w:ind w:left="51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Самостійна робота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10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line="240" w:lineRule="auto"/>
              <w:ind w:left="51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Модульна контрольна робота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10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line="240" w:lineRule="auto"/>
              <w:ind w:left="51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Семінарське заняття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40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right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Підсумковий рейтинговий бал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80</w:t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42" w:firstLine="38.00000000000001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rtl w:val="0"/>
        </w:rPr>
        <w:t xml:space="preserve">11. Розподіл балів, які отримують студенти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142" w:firstLine="38.00000000000001"/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320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0"/>
        <w:gridCol w:w="2880"/>
        <w:gridCol w:w="1780"/>
        <w:gridCol w:w="820"/>
        <w:gridCol w:w="820"/>
        <w:tblGridChange w:id="0">
          <w:tblGrid>
            <w:gridCol w:w="3020"/>
            <w:gridCol w:w="2880"/>
            <w:gridCol w:w="1780"/>
            <w:gridCol w:w="820"/>
            <w:gridCol w:w="820"/>
          </w:tblGrid>
        </w:tblGridChange>
      </w:tblGrid>
      <w:tr>
        <w:tc>
          <w:tcPr>
            <w:gridSpan w:val="3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Поточний контроль знань 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Сума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Контрольний модуль № 1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Контрольний модуль № 2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Індивідуальне завдання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rtl w:val="0"/>
              </w:rPr>
              <w:t xml:space="preserve">Іспит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rtl w:val="0"/>
              </w:rPr>
              <w:t xml:space="preserve">Змістовий модуль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rtl w:val="0"/>
              </w:rPr>
              <w:t xml:space="preserve">Змістовий модуль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360" w:lineRule="auto"/>
        <w:ind w:firstLine="72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rtl w:val="0"/>
        </w:rPr>
        <w:t xml:space="preserve">Шкала оцінювання: національна та ECTS</w:t>
      </w:r>
      <w:r w:rsidDel="00000000" w:rsidR="00000000" w:rsidRPr="00000000">
        <w:rPr>
          <w:rtl w:val="0"/>
        </w:rPr>
      </w:r>
    </w:p>
    <w:tbl>
      <w:tblPr>
        <w:tblStyle w:val="Table3"/>
        <w:bidi w:val="0"/>
        <w:tblW w:w="9360.0" w:type="dxa"/>
        <w:jc w:val="center"/>
        <w:tblInd w:w="-2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3800"/>
        <w:gridCol w:w="2080"/>
        <w:gridCol w:w="1680"/>
        <w:tblGridChange w:id="0">
          <w:tblGrid>
            <w:gridCol w:w="1800"/>
            <w:gridCol w:w="3800"/>
            <w:gridCol w:w="2080"/>
            <w:gridCol w:w="1680"/>
          </w:tblGrid>
        </w:tblGridChange>
      </w:tblGrid>
      <w:tr>
        <w:trPr>
          <w:trHeight w:val="560" w:hRule="atLeast"/>
        </w:trPr>
        <w:tc>
          <w:tcPr>
            <w:vMerge w:val="restart"/>
          </w:tcPr>
          <w:p w:rsidR="00000000" w:rsidDel="00000000" w:rsidP="00000000" w:rsidRDefault="00000000" w:rsidRPr="00000000">
            <w:pPr>
              <w:keepNext w:val="1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rtl w:val="0"/>
              </w:rPr>
              <w:t xml:space="preserve">ЗА ШКАЛОЮ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ECTS</w:t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spacing w:line="240" w:lineRule="auto"/>
              <w:ind w:right="-108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 шкалою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університету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keepNext w:val="1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 національною шкалою</w:t>
            </w:r>
          </w:p>
        </w:tc>
      </w:tr>
      <w:tr>
        <w:trPr>
          <w:trHeight w:val="300" w:hRule="atLeast"/>
        </w:trPr>
        <w:tc>
          <w:tcPr>
            <w:vMerge w:val="continue"/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1"/>
              <w:spacing w:after="60" w:before="24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60" w:before="24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Екзамен</w:t>
            </w:r>
          </w:p>
        </w:tc>
        <w:tc>
          <w:tcPr/>
          <w:p w:rsidR="00000000" w:rsidDel="00000000" w:rsidP="00000000" w:rsidRDefault="00000000" w:rsidRPr="00000000">
            <w:pPr>
              <w:keepNext w:val="1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Залік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68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 – 100</w:t>
            </w:r>
          </w:p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(відмінно)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1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(відмінно)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keepNext w:val="1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Зараховано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68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85 – 89</w:t>
            </w:r>
          </w:p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(дуже добре)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54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 (добре)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54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68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75 – 84</w:t>
            </w:r>
          </w:p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(добре)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54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ind w:right="-54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68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70 – 74</w:t>
            </w:r>
          </w:p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(задовільно)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54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(задовільно)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54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68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 – 69</w:t>
            </w:r>
          </w:p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(достатньо)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54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ind w:right="-54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68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FX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35 – 59</w:t>
            </w:r>
          </w:p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(незадовільно – з можливістю повторного складання)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54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(незадовільно)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54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 зараховано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68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– 34</w:t>
            </w:r>
          </w:p>
          <w:p w:rsidR="00000000" w:rsidDel="00000000" w:rsidP="00000000" w:rsidRDefault="00000000" w:rsidRPr="00000000">
            <w:pPr>
              <w:spacing w:line="240" w:lineRule="auto"/>
              <w:ind w:right="223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(незадовільно – з обов’язковим повторним курсом)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spacing w:line="240" w:lineRule="auto"/>
              <w:ind w:right="-54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ind w:right="-54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979"/>
        </w:tabs>
        <w:spacing w:line="240" w:lineRule="auto"/>
        <w:ind w:left="567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510" w:firstLine="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