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84"/>
        <w:gridCol w:w="3018"/>
        <w:gridCol w:w="5335"/>
      </w:tblGrid>
      <w:tr w:rsidR="00875C52" w:rsidRPr="000E3AEE" w:rsidTr="00BE271A">
        <w:trPr>
          <w:trHeight w:val="650"/>
        </w:trPr>
        <w:tc>
          <w:tcPr>
            <w:tcW w:w="1436" w:type="dxa"/>
            <w:shd w:val="clear" w:color="auto" w:fill="auto"/>
          </w:tcPr>
          <w:p w:rsidR="00875C52" w:rsidRPr="000E3AEE" w:rsidRDefault="00875C52" w:rsidP="00BE271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875C52" w:rsidRPr="000E3AEE" w:rsidRDefault="00875C52" w:rsidP="00BE271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172" w:type="dxa"/>
            <w:gridSpan w:val="2"/>
            <w:shd w:val="clear" w:color="auto" w:fill="auto"/>
          </w:tcPr>
          <w:p w:rsidR="00875C52" w:rsidRPr="000E3AEE" w:rsidRDefault="00875C52" w:rsidP="00BE271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0E3AEE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5580" w:type="dxa"/>
            <w:shd w:val="clear" w:color="auto" w:fill="auto"/>
          </w:tcPr>
          <w:p w:rsidR="00875C52" w:rsidRPr="000E3AEE" w:rsidRDefault="00875C52" w:rsidP="00BE271A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Контрольні заходи, кількість балів</w:t>
            </w:r>
          </w:p>
        </w:tc>
      </w:tr>
      <w:tr w:rsidR="00875C52" w:rsidRPr="00D26B90" w:rsidTr="00BE271A">
        <w:tc>
          <w:tcPr>
            <w:tcW w:w="10188" w:type="dxa"/>
            <w:gridSpan w:val="4"/>
            <w:shd w:val="clear" w:color="auto" w:fill="auto"/>
          </w:tcPr>
          <w:p w:rsidR="00875C52" w:rsidRPr="00D26B90" w:rsidRDefault="00875C52" w:rsidP="00BE271A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D26B90">
              <w:rPr>
                <w:b/>
                <w:i/>
                <w:color w:val="000000"/>
                <w:lang w:val="uk-UA"/>
              </w:rPr>
              <w:t xml:space="preserve">Змістовний модуль 1. </w:t>
            </w:r>
            <w:r w:rsidRPr="00D26B90">
              <w:rPr>
                <w:b/>
                <w:i/>
                <w:lang w:val="uk-UA"/>
              </w:rPr>
              <w:t>Інвестиційна діяльність: сутність, суб’єкти та об’єкти</w:t>
            </w:r>
          </w:p>
        </w:tc>
      </w:tr>
      <w:tr w:rsidR="00875C52" w:rsidRPr="00D26B90" w:rsidTr="00BE271A">
        <w:trPr>
          <w:trHeight w:val="609"/>
        </w:trPr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1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Лекція 1</w:t>
            </w:r>
          </w:p>
        </w:tc>
        <w:tc>
          <w:tcPr>
            <w:tcW w:w="3082" w:type="dxa"/>
            <w:vMerge w:val="restart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Теоретичні засади  інвестиційної діяльності</w:t>
            </w: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color w:val="000000"/>
                <w:lang w:val="uk-UA"/>
              </w:rPr>
            </w:pPr>
          </w:p>
        </w:tc>
      </w:tr>
      <w:tr w:rsidR="00875C52" w:rsidRPr="0062446C" w:rsidTr="00BE271A"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</w:rPr>
            </w:pPr>
            <w:r w:rsidRPr="00D26B90">
              <w:rPr>
                <w:color w:val="000000"/>
                <w:lang w:val="uk-UA"/>
              </w:rPr>
              <w:t xml:space="preserve">Тиждень </w:t>
            </w:r>
            <w:r w:rsidRPr="00D26B90">
              <w:rPr>
                <w:color w:val="000000"/>
              </w:rPr>
              <w:t>2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D26B90">
              <w:rPr>
                <w:color w:val="000000"/>
                <w:lang w:val="uk-UA"/>
              </w:rPr>
              <w:t>Практ</w:t>
            </w:r>
            <w:proofErr w:type="spellEnd"/>
            <w:r w:rsidRPr="00D26B90">
              <w:rPr>
                <w:color w:val="000000"/>
                <w:lang w:val="uk-UA"/>
              </w:rPr>
              <w:t>. 1</w:t>
            </w:r>
          </w:p>
        </w:tc>
        <w:tc>
          <w:tcPr>
            <w:tcW w:w="3082" w:type="dxa"/>
            <w:vMerge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lang w:val="uk-UA"/>
              </w:rPr>
            </w:pP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color w:val="000000"/>
                <w:lang w:val="uk-UA"/>
              </w:rPr>
            </w:pPr>
            <w:r w:rsidRPr="00D26B90">
              <w:rPr>
                <w:i/>
                <w:color w:val="000000"/>
                <w:lang w:val="uk-UA"/>
              </w:rPr>
              <w:t xml:space="preserve">Тест № 1. </w:t>
            </w:r>
            <w:r w:rsidRPr="00D26B90">
              <w:rPr>
                <w:color w:val="000000"/>
                <w:lang w:val="uk-UA"/>
              </w:rPr>
              <w:t>Основні поняття інвестиційної діяльності (</w:t>
            </w:r>
            <w:r w:rsidRPr="00D26B90">
              <w:rPr>
                <w:i/>
                <w:color w:val="000000"/>
              </w:rPr>
              <w:t>max</w:t>
            </w:r>
            <w:r w:rsidRPr="00D26B90">
              <w:rPr>
                <w:i/>
                <w:color w:val="000000"/>
                <w:lang w:val="uk-UA"/>
              </w:rPr>
              <w:t> 10 балів</w:t>
            </w:r>
            <w:r w:rsidRPr="00D26B90">
              <w:rPr>
                <w:color w:val="000000"/>
                <w:lang w:val="uk-UA"/>
              </w:rPr>
              <w:t>)</w:t>
            </w:r>
          </w:p>
        </w:tc>
      </w:tr>
      <w:tr w:rsidR="00875C52" w:rsidRPr="0062446C" w:rsidTr="00BE271A"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3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D26B90">
              <w:rPr>
                <w:color w:val="000000"/>
                <w:lang w:val="ru-RU"/>
              </w:rPr>
              <w:t>Лекц</w:t>
            </w:r>
            <w:r w:rsidRPr="00D26B90">
              <w:rPr>
                <w:color w:val="000000"/>
                <w:lang w:val="uk-UA"/>
              </w:rPr>
              <w:t>ія</w:t>
            </w:r>
            <w:proofErr w:type="spellEnd"/>
            <w:r w:rsidRPr="00D26B90">
              <w:rPr>
                <w:color w:val="000000"/>
                <w:lang w:val="uk-UA"/>
              </w:rPr>
              <w:t xml:space="preserve"> 2</w:t>
            </w:r>
          </w:p>
        </w:tc>
        <w:tc>
          <w:tcPr>
            <w:tcW w:w="3082" w:type="dxa"/>
            <w:vMerge w:val="restart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lang w:val="uk-UA"/>
              </w:rPr>
            </w:pPr>
            <w:r w:rsidRPr="00D26B90">
              <w:rPr>
                <w:lang w:val="uk-UA"/>
              </w:rPr>
              <w:t>ТНК як суб’єкти міжнародної інвестиційної діяльності</w:t>
            </w: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i/>
                <w:color w:val="000000"/>
                <w:lang w:val="uk-UA"/>
              </w:rPr>
            </w:pPr>
          </w:p>
        </w:tc>
      </w:tr>
      <w:tr w:rsidR="00875C52" w:rsidRPr="0062446C" w:rsidTr="00BE271A"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4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D26B90">
              <w:rPr>
                <w:color w:val="000000"/>
                <w:lang w:val="uk-UA"/>
              </w:rPr>
              <w:t>Практ</w:t>
            </w:r>
            <w:proofErr w:type="spellEnd"/>
            <w:r w:rsidRPr="00D26B90">
              <w:rPr>
                <w:color w:val="000000"/>
                <w:lang w:val="uk-UA"/>
              </w:rPr>
              <w:t>. 2</w:t>
            </w:r>
          </w:p>
        </w:tc>
        <w:tc>
          <w:tcPr>
            <w:tcW w:w="3082" w:type="dxa"/>
            <w:vMerge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lang w:val="uk-UA"/>
              </w:rPr>
            </w:pP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i/>
                <w:color w:val="000000"/>
                <w:lang w:val="uk-UA"/>
              </w:rPr>
            </w:pPr>
            <w:r w:rsidRPr="00D26B90">
              <w:rPr>
                <w:i/>
                <w:color w:val="000000"/>
                <w:lang w:val="uk-UA"/>
              </w:rPr>
              <w:t xml:space="preserve">Тест № 2. </w:t>
            </w:r>
            <w:r w:rsidRPr="00D26B90">
              <w:rPr>
                <w:lang w:val="uk-UA"/>
              </w:rPr>
              <w:t>Міжнародні компанії та їх роль у процесі глобалізації</w:t>
            </w:r>
            <w:r w:rsidRPr="00D26B90">
              <w:rPr>
                <w:color w:val="000000"/>
                <w:lang w:val="uk-UA"/>
              </w:rPr>
              <w:t xml:space="preserve"> (</w:t>
            </w:r>
            <w:r w:rsidRPr="00D26B90">
              <w:rPr>
                <w:i/>
                <w:color w:val="000000"/>
              </w:rPr>
              <w:t>max</w:t>
            </w:r>
            <w:r w:rsidRPr="00D26B90">
              <w:rPr>
                <w:i/>
                <w:color w:val="000000"/>
                <w:lang w:val="uk-UA"/>
              </w:rPr>
              <w:t xml:space="preserve"> 10 балів</w:t>
            </w:r>
            <w:r w:rsidRPr="00D26B90">
              <w:rPr>
                <w:color w:val="000000"/>
                <w:lang w:val="uk-UA"/>
              </w:rPr>
              <w:t>)</w:t>
            </w:r>
          </w:p>
        </w:tc>
      </w:tr>
      <w:tr w:rsidR="00875C52" w:rsidRPr="0062446C" w:rsidTr="00BE271A">
        <w:tc>
          <w:tcPr>
            <w:tcW w:w="10188" w:type="dxa"/>
            <w:gridSpan w:val="4"/>
            <w:shd w:val="clear" w:color="auto" w:fill="auto"/>
          </w:tcPr>
          <w:p w:rsidR="00875C52" w:rsidRPr="00D26B90" w:rsidRDefault="00875C52" w:rsidP="00BE271A">
            <w:pPr>
              <w:pStyle w:val="Default"/>
              <w:rPr>
                <w:b/>
                <w:i/>
                <w:lang w:val="ru-RU"/>
              </w:rPr>
            </w:pPr>
            <w:r w:rsidRPr="00D26B90">
              <w:rPr>
                <w:b/>
                <w:i/>
              </w:rPr>
              <w:t>Змістовний м</w:t>
            </w:r>
            <w:proofErr w:type="spellStart"/>
            <w:r w:rsidRPr="00D26B90">
              <w:rPr>
                <w:b/>
                <w:i/>
                <w:lang w:val="ru-RU"/>
              </w:rPr>
              <w:t>одуль</w:t>
            </w:r>
            <w:proofErr w:type="spellEnd"/>
            <w:r w:rsidRPr="00D26B90">
              <w:rPr>
                <w:b/>
                <w:i/>
                <w:lang w:val="ru-RU"/>
              </w:rPr>
              <w:t xml:space="preserve"> 2. </w:t>
            </w:r>
            <w:r w:rsidRPr="00D26B90">
              <w:rPr>
                <w:rFonts w:ascii="Myriad Pro" w:hAnsi="Myriad Pro"/>
              </w:rPr>
              <w:t xml:space="preserve"> </w:t>
            </w:r>
            <w:r w:rsidRPr="00D26B90">
              <w:rPr>
                <w:b/>
                <w:bCs/>
                <w:i/>
              </w:rPr>
              <w:t>Диверсифікація міжнародних інвестиційних стратегій</w:t>
            </w:r>
          </w:p>
        </w:tc>
      </w:tr>
      <w:tr w:rsidR="00875C52" w:rsidRPr="00D26B90" w:rsidTr="00BE271A">
        <w:trPr>
          <w:trHeight w:val="579"/>
        </w:trPr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5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Лекція 3</w:t>
            </w:r>
          </w:p>
        </w:tc>
        <w:tc>
          <w:tcPr>
            <w:tcW w:w="3082" w:type="dxa"/>
            <w:vMerge w:val="restart"/>
            <w:shd w:val="clear" w:color="auto" w:fill="auto"/>
          </w:tcPr>
          <w:p w:rsidR="00875C52" w:rsidRPr="00D26B90" w:rsidRDefault="00875C52" w:rsidP="00BE271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D26B90">
              <w:rPr>
                <w:lang w:val="uk-UA"/>
              </w:rPr>
              <w:t>Інвестиційні ризики</w:t>
            </w:r>
            <w:r w:rsidRPr="00D26B90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</w:p>
        </w:tc>
      </w:tr>
      <w:tr w:rsidR="00875C52" w:rsidRPr="0062446C" w:rsidTr="00BE271A">
        <w:trPr>
          <w:trHeight w:val="573"/>
        </w:trPr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6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D26B90">
              <w:rPr>
                <w:color w:val="000000"/>
                <w:lang w:val="uk-UA"/>
              </w:rPr>
              <w:t>Практ</w:t>
            </w:r>
            <w:proofErr w:type="spellEnd"/>
            <w:r w:rsidRPr="00D26B90">
              <w:rPr>
                <w:color w:val="000000"/>
                <w:lang w:val="uk-UA"/>
              </w:rPr>
              <w:t>. 3</w:t>
            </w:r>
          </w:p>
        </w:tc>
        <w:tc>
          <w:tcPr>
            <w:tcW w:w="3082" w:type="dxa"/>
            <w:vMerge/>
            <w:shd w:val="clear" w:color="auto" w:fill="auto"/>
          </w:tcPr>
          <w:p w:rsidR="00875C52" w:rsidRPr="00D26B90" w:rsidRDefault="00875C52" w:rsidP="00BE271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62446C">
            <w:pPr>
              <w:jc w:val="both"/>
              <w:rPr>
                <w:color w:val="000000"/>
                <w:lang w:val="uk-UA"/>
              </w:rPr>
            </w:pPr>
            <w:r w:rsidRPr="00D26B90">
              <w:rPr>
                <w:i/>
                <w:color w:val="000000"/>
                <w:lang w:val="uk-UA"/>
              </w:rPr>
              <w:t xml:space="preserve">Самостійна робота № 1. </w:t>
            </w:r>
            <w:r w:rsidRPr="00D26B90">
              <w:rPr>
                <w:color w:val="000000"/>
                <w:lang w:val="uk-UA"/>
              </w:rPr>
              <w:t>Методи оцінки інвестиційних ризиків (</w:t>
            </w:r>
            <w:r w:rsidRPr="00D26B90">
              <w:rPr>
                <w:i/>
                <w:color w:val="000000"/>
              </w:rPr>
              <w:t>max</w:t>
            </w:r>
            <w:r w:rsidRPr="00D26B90">
              <w:rPr>
                <w:i/>
                <w:color w:val="000000"/>
                <w:lang w:val="uk-UA"/>
              </w:rPr>
              <w:t xml:space="preserve"> 1</w:t>
            </w:r>
            <w:r w:rsidR="0062446C">
              <w:rPr>
                <w:i/>
                <w:color w:val="000000"/>
                <w:lang w:val="uk-UA"/>
              </w:rPr>
              <w:t xml:space="preserve">0 </w:t>
            </w:r>
            <w:r w:rsidRPr="00D26B90">
              <w:rPr>
                <w:i/>
                <w:color w:val="000000"/>
                <w:lang w:val="uk-UA"/>
              </w:rPr>
              <w:t>балів</w:t>
            </w:r>
            <w:r w:rsidRPr="00D26B90">
              <w:rPr>
                <w:color w:val="000000"/>
                <w:lang w:val="uk-UA"/>
              </w:rPr>
              <w:t>)</w:t>
            </w:r>
          </w:p>
        </w:tc>
      </w:tr>
      <w:tr w:rsidR="00875C52" w:rsidRPr="0062446C" w:rsidTr="00BE271A">
        <w:trPr>
          <w:trHeight w:val="535"/>
        </w:trPr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7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Лекція 4</w:t>
            </w:r>
          </w:p>
        </w:tc>
        <w:tc>
          <w:tcPr>
            <w:tcW w:w="3082" w:type="dxa"/>
            <w:vMerge w:val="restart"/>
            <w:shd w:val="clear" w:color="auto" w:fill="auto"/>
          </w:tcPr>
          <w:p w:rsidR="00875C52" w:rsidRPr="00D26B90" w:rsidRDefault="00875C52" w:rsidP="00BE271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D26B90">
              <w:rPr>
                <w:bCs/>
                <w:color w:val="000000"/>
                <w:lang w:val="uk-UA"/>
              </w:rPr>
              <w:t>Міжнародні інвестиційні стратегії транснаціональних корпорацій</w:t>
            </w:r>
            <w:r w:rsidRPr="00D26B90">
              <w:rPr>
                <w:b/>
                <w:bCs/>
                <w:color w:val="000000"/>
                <w:sz w:val="21"/>
                <w:szCs w:val="21"/>
                <w:lang w:val="uk-UA"/>
              </w:rPr>
              <w:t>.</w:t>
            </w: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color w:val="000000"/>
                <w:lang w:val="uk-UA"/>
              </w:rPr>
            </w:pPr>
          </w:p>
        </w:tc>
      </w:tr>
      <w:tr w:rsidR="00875C52" w:rsidRPr="0062446C" w:rsidTr="00BE271A">
        <w:trPr>
          <w:trHeight w:val="543"/>
        </w:trPr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8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D26B90">
              <w:rPr>
                <w:color w:val="000000"/>
                <w:lang w:val="uk-UA"/>
              </w:rPr>
              <w:t>Практ</w:t>
            </w:r>
            <w:proofErr w:type="spellEnd"/>
            <w:r w:rsidRPr="00D26B90">
              <w:rPr>
                <w:color w:val="000000"/>
                <w:lang w:val="uk-UA"/>
              </w:rPr>
              <w:t>. 4</w:t>
            </w:r>
          </w:p>
        </w:tc>
        <w:tc>
          <w:tcPr>
            <w:tcW w:w="3082" w:type="dxa"/>
            <w:vMerge/>
            <w:shd w:val="clear" w:color="auto" w:fill="auto"/>
          </w:tcPr>
          <w:p w:rsidR="00875C52" w:rsidRPr="00D26B90" w:rsidRDefault="00875C52" w:rsidP="00BE271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color w:val="000000"/>
                <w:lang w:val="uk-UA"/>
              </w:rPr>
            </w:pPr>
            <w:r w:rsidRPr="00D26B90">
              <w:rPr>
                <w:i/>
                <w:color w:val="000000"/>
                <w:lang w:val="uk-UA"/>
              </w:rPr>
              <w:t xml:space="preserve">Тест № 3. </w:t>
            </w:r>
            <w:r w:rsidRPr="00D26B90">
              <w:rPr>
                <w:color w:val="000000"/>
                <w:lang w:val="uk-UA"/>
              </w:rPr>
              <w:t>Первинне й вторинне дослідження потенційного ринку (</w:t>
            </w:r>
            <w:r w:rsidRPr="00D26B90">
              <w:rPr>
                <w:i/>
                <w:color w:val="000000"/>
              </w:rPr>
              <w:t>max</w:t>
            </w:r>
            <w:r w:rsidRPr="00D26B90">
              <w:rPr>
                <w:i/>
                <w:color w:val="000000"/>
                <w:lang w:val="uk-UA"/>
              </w:rPr>
              <w:t xml:space="preserve"> 10 балів</w:t>
            </w:r>
            <w:r w:rsidRPr="00D26B90">
              <w:rPr>
                <w:color w:val="000000"/>
                <w:lang w:val="uk-UA"/>
              </w:rPr>
              <w:t>)</w:t>
            </w:r>
          </w:p>
        </w:tc>
      </w:tr>
      <w:tr w:rsidR="00875C52" w:rsidRPr="0062446C" w:rsidTr="00BE271A">
        <w:trPr>
          <w:trHeight w:val="253"/>
        </w:trPr>
        <w:tc>
          <w:tcPr>
            <w:tcW w:w="10188" w:type="dxa"/>
            <w:gridSpan w:val="4"/>
            <w:shd w:val="clear" w:color="auto" w:fill="auto"/>
          </w:tcPr>
          <w:p w:rsidR="00875C52" w:rsidRPr="00AA7CEB" w:rsidRDefault="00875C52" w:rsidP="00BE271A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AA7CEB">
              <w:rPr>
                <w:b/>
                <w:i/>
                <w:color w:val="000000"/>
                <w:lang w:val="uk-UA"/>
              </w:rPr>
              <w:t>Змістовний модуль 3.</w:t>
            </w:r>
            <w:r w:rsidRPr="00AA7CEB">
              <w:rPr>
                <w:b/>
                <w:lang w:val="uk-UA"/>
              </w:rPr>
              <w:t xml:space="preserve"> </w:t>
            </w:r>
            <w:r w:rsidRPr="00AA7CEB">
              <w:rPr>
                <w:rFonts w:eastAsiaTheme="minorEastAsia"/>
                <w:b/>
                <w:bCs/>
                <w:i/>
                <w:lang w:val="uk-UA"/>
              </w:rPr>
              <w:t>Аналіз і оцінювання міжнародних інвестиційних проектів</w:t>
            </w:r>
            <w:r w:rsidRPr="00AA7CEB">
              <w:rPr>
                <w:rFonts w:eastAsiaTheme="minorEastAsia"/>
                <w:b/>
                <w:bCs/>
                <w:i/>
                <w:sz w:val="28"/>
                <w:szCs w:val="28"/>
                <w:lang w:val="uk-UA"/>
              </w:rPr>
              <w:t>.</w:t>
            </w:r>
          </w:p>
        </w:tc>
      </w:tr>
      <w:tr w:rsidR="00875C52" w:rsidRPr="0062446C" w:rsidTr="00BE271A">
        <w:trPr>
          <w:trHeight w:val="443"/>
        </w:trPr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9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Лекція 5</w:t>
            </w:r>
          </w:p>
        </w:tc>
        <w:tc>
          <w:tcPr>
            <w:tcW w:w="3082" w:type="dxa"/>
            <w:vMerge w:val="restart"/>
            <w:shd w:val="clear" w:color="auto" w:fill="auto"/>
          </w:tcPr>
          <w:p w:rsidR="00875C52" w:rsidRPr="00AA7CEB" w:rsidRDefault="00875C52" w:rsidP="00BE271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AA7CEB">
              <w:rPr>
                <w:rFonts w:eastAsiaTheme="minorEastAsia"/>
                <w:bCs/>
                <w:lang w:val="uk-UA"/>
              </w:rPr>
              <w:t>Аналіз і оцінювання міжнародних інвестиційних проектів.</w:t>
            </w: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</w:p>
        </w:tc>
      </w:tr>
      <w:tr w:rsidR="00875C52" w:rsidRPr="00365752" w:rsidTr="00BE271A">
        <w:trPr>
          <w:trHeight w:val="721"/>
        </w:trPr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10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D26B90">
              <w:rPr>
                <w:color w:val="000000"/>
                <w:lang w:val="uk-UA"/>
              </w:rPr>
              <w:t>Практ</w:t>
            </w:r>
            <w:proofErr w:type="spellEnd"/>
            <w:r w:rsidRPr="00D26B90">
              <w:rPr>
                <w:color w:val="000000"/>
                <w:lang w:val="uk-UA"/>
              </w:rPr>
              <w:t>. 5</w:t>
            </w:r>
          </w:p>
        </w:tc>
        <w:tc>
          <w:tcPr>
            <w:tcW w:w="3082" w:type="dxa"/>
            <w:vMerge/>
            <w:shd w:val="clear" w:color="auto" w:fill="auto"/>
          </w:tcPr>
          <w:p w:rsidR="00875C52" w:rsidRPr="00D26B90" w:rsidRDefault="00875C52" w:rsidP="00BE271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5580" w:type="dxa"/>
            <w:shd w:val="clear" w:color="auto" w:fill="auto"/>
          </w:tcPr>
          <w:p w:rsidR="00875C52" w:rsidRPr="00D26B90" w:rsidRDefault="00365752" w:rsidP="00365752">
            <w:pPr>
              <w:jc w:val="both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Доповідь</w:t>
            </w:r>
            <w:r w:rsidR="00875C52" w:rsidRPr="00D26B90">
              <w:rPr>
                <w:i/>
                <w:color w:val="000000"/>
                <w:lang w:val="uk-UA"/>
              </w:rPr>
              <w:t xml:space="preserve"> </w:t>
            </w:r>
            <w:r w:rsidR="00875C52" w:rsidRPr="00D26B90">
              <w:rPr>
                <w:rFonts w:eastAsiaTheme="minorEastAsia"/>
                <w:bCs/>
                <w:lang w:val="ru-RU"/>
              </w:rPr>
              <w:t>Си</w:t>
            </w:r>
            <w:proofErr w:type="spellStart"/>
            <w:r w:rsidR="00875C52" w:rsidRPr="00D53EDF">
              <w:rPr>
                <w:rFonts w:eastAsiaTheme="minorEastAsia"/>
                <w:color w:val="000000"/>
                <w:lang w:val="uk-UA"/>
              </w:rPr>
              <w:t>стема</w:t>
            </w:r>
            <w:proofErr w:type="spellEnd"/>
            <w:r w:rsidR="00875C52" w:rsidRPr="00D53EDF">
              <w:rPr>
                <w:rFonts w:eastAsiaTheme="minorEastAsia"/>
                <w:color w:val="000000"/>
                <w:lang w:val="uk-UA"/>
              </w:rPr>
              <w:t xml:space="preserve"> показників, які використовуються при аналізі інвестиційних процесів</w:t>
            </w:r>
            <w:r w:rsidR="00875C52" w:rsidRPr="00D53EDF">
              <w:rPr>
                <w:rFonts w:eastAsiaTheme="minorEastAsia"/>
                <w:color w:val="000000"/>
                <w:sz w:val="28"/>
                <w:szCs w:val="28"/>
                <w:lang w:val="uk-UA"/>
              </w:rPr>
              <w:t>.</w:t>
            </w:r>
            <w:r w:rsidR="00875C52" w:rsidRPr="00D26B90">
              <w:rPr>
                <w:color w:val="000000"/>
                <w:lang w:val="uk-UA"/>
              </w:rPr>
              <w:t xml:space="preserve"> (</w:t>
            </w:r>
            <w:r w:rsidR="00875C52" w:rsidRPr="00D26B90">
              <w:rPr>
                <w:i/>
                <w:color w:val="000000"/>
              </w:rPr>
              <w:t>max</w:t>
            </w:r>
            <w:r w:rsidR="00875C52" w:rsidRPr="00D26B90">
              <w:rPr>
                <w:i/>
                <w:color w:val="000000"/>
                <w:lang w:val="uk-UA"/>
              </w:rPr>
              <w:t xml:space="preserve"> 10 балів</w:t>
            </w:r>
            <w:r w:rsidR="00875C52" w:rsidRPr="00D26B90">
              <w:rPr>
                <w:color w:val="000000"/>
                <w:lang w:val="uk-UA"/>
              </w:rPr>
              <w:t>)</w:t>
            </w:r>
          </w:p>
        </w:tc>
      </w:tr>
      <w:tr w:rsidR="00875C52" w:rsidRPr="0062446C" w:rsidTr="00BE271A">
        <w:trPr>
          <w:trHeight w:val="410"/>
        </w:trPr>
        <w:tc>
          <w:tcPr>
            <w:tcW w:w="10188" w:type="dxa"/>
            <w:gridSpan w:val="4"/>
            <w:shd w:val="clear" w:color="auto" w:fill="auto"/>
          </w:tcPr>
          <w:p w:rsidR="00875C52" w:rsidRPr="00D26B90" w:rsidRDefault="00875C52" w:rsidP="00BE271A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26B90">
              <w:rPr>
                <w:b/>
                <w:i/>
                <w:color w:val="000000"/>
                <w:lang w:val="uk-UA"/>
              </w:rPr>
              <w:t>Змістовний модуль 4.</w:t>
            </w:r>
            <w:r w:rsidRPr="00D26B90">
              <w:rPr>
                <w:b/>
                <w:lang w:val="uk-UA"/>
              </w:rPr>
              <w:t xml:space="preserve"> </w:t>
            </w:r>
            <w:r w:rsidRPr="007F4C1F">
              <w:rPr>
                <w:b/>
                <w:bCs/>
                <w:i/>
                <w:szCs w:val="28"/>
                <w:lang w:val="uk-UA"/>
              </w:rPr>
              <w:t>Інвестиційні процеси ТНК в Україні</w:t>
            </w:r>
          </w:p>
        </w:tc>
      </w:tr>
      <w:tr w:rsidR="00875C52" w:rsidRPr="0062446C" w:rsidTr="00BE271A">
        <w:trPr>
          <w:trHeight w:val="415"/>
        </w:trPr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11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Лекція 6</w:t>
            </w:r>
          </w:p>
        </w:tc>
        <w:tc>
          <w:tcPr>
            <w:tcW w:w="3082" w:type="dxa"/>
            <w:vMerge w:val="restart"/>
            <w:shd w:val="clear" w:color="auto" w:fill="auto"/>
          </w:tcPr>
          <w:p w:rsidR="00875C52" w:rsidRPr="00D26B90" w:rsidRDefault="00875C52" w:rsidP="00BE271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D26B90">
              <w:rPr>
                <w:shd w:val="clear" w:color="auto" w:fill="FFFFFF"/>
                <w:lang w:val="uk-UA"/>
              </w:rPr>
              <w:t>Іноземні інвестиції в економічному розвитку України та її регіонів</w:t>
            </w: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</w:p>
        </w:tc>
      </w:tr>
      <w:tr w:rsidR="00875C52" w:rsidRPr="0062446C" w:rsidTr="00BE271A">
        <w:trPr>
          <w:trHeight w:val="564"/>
        </w:trPr>
        <w:tc>
          <w:tcPr>
            <w:tcW w:w="1526" w:type="dxa"/>
            <w:gridSpan w:val="2"/>
            <w:shd w:val="clear" w:color="auto" w:fill="auto"/>
          </w:tcPr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Тиждень 12</w:t>
            </w:r>
          </w:p>
          <w:p w:rsidR="00875C52" w:rsidRPr="00D26B90" w:rsidRDefault="00875C52" w:rsidP="00BE271A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D26B90">
              <w:rPr>
                <w:color w:val="000000"/>
                <w:lang w:val="uk-UA"/>
              </w:rPr>
              <w:t>Практ</w:t>
            </w:r>
            <w:proofErr w:type="spellEnd"/>
            <w:r w:rsidRPr="00D26B90">
              <w:rPr>
                <w:color w:val="000000"/>
                <w:lang w:val="uk-UA"/>
              </w:rPr>
              <w:t>. 6</w:t>
            </w:r>
          </w:p>
        </w:tc>
        <w:tc>
          <w:tcPr>
            <w:tcW w:w="3082" w:type="dxa"/>
            <w:vMerge/>
            <w:shd w:val="clear" w:color="auto" w:fill="auto"/>
          </w:tcPr>
          <w:p w:rsidR="00875C52" w:rsidRPr="00D26B90" w:rsidRDefault="00875C52" w:rsidP="00BE271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365752">
            <w:pPr>
              <w:jc w:val="both"/>
              <w:rPr>
                <w:color w:val="000000"/>
                <w:lang w:val="uk-UA"/>
              </w:rPr>
            </w:pPr>
            <w:r w:rsidRPr="00D26B90">
              <w:rPr>
                <w:i/>
                <w:color w:val="000000"/>
                <w:lang w:val="uk-UA"/>
              </w:rPr>
              <w:t xml:space="preserve">Тест № </w:t>
            </w:r>
            <w:r w:rsidR="00365752">
              <w:rPr>
                <w:i/>
                <w:color w:val="000000"/>
                <w:lang w:val="uk-UA"/>
              </w:rPr>
              <w:t>4</w:t>
            </w:r>
            <w:r w:rsidRPr="00D26B90">
              <w:rPr>
                <w:i/>
                <w:color w:val="000000"/>
                <w:lang w:val="uk-UA"/>
              </w:rPr>
              <w:t xml:space="preserve">. </w:t>
            </w:r>
            <w:r w:rsidRPr="00D26B90">
              <w:rPr>
                <w:color w:val="000000"/>
                <w:lang w:val="uk-UA"/>
              </w:rPr>
              <w:t>Міжнародна інвестиційна діяльність ТНК в Україні (</w:t>
            </w:r>
            <w:r w:rsidRPr="00D26B90">
              <w:rPr>
                <w:i/>
                <w:color w:val="000000"/>
              </w:rPr>
              <w:t>max</w:t>
            </w:r>
            <w:r w:rsidRPr="00D26B90">
              <w:rPr>
                <w:i/>
                <w:color w:val="000000"/>
                <w:lang w:val="uk-UA"/>
              </w:rPr>
              <w:t xml:space="preserve">  10 балів</w:t>
            </w:r>
            <w:r w:rsidRPr="00D26B90">
              <w:rPr>
                <w:color w:val="000000"/>
                <w:lang w:val="uk-UA"/>
              </w:rPr>
              <w:t>)</w:t>
            </w:r>
          </w:p>
        </w:tc>
      </w:tr>
      <w:tr w:rsidR="00875C52" w:rsidRPr="0062446C" w:rsidTr="00BE271A">
        <w:trPr>
          <w:trHeight w:val="562"/>
        </w:trPr>
        <w:tc>
          <w:tcPr>
            <w:tcW w:w="4608" w:type="dxa"/>
            <w:gridSpan w:val="3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color w:val="000000"/>
                <w:lang w:val="uk-UA"/>
              </w:rPr>
            </w:pPr>
            <w:r w:rsidRPr="00D26B90">
              <w:rPr>
                <w:color w:val="000000"/>
                <w:lang w:val="uk-UA"/>
              </w:rPr>
              <w:t>Залік</w:t>
            </w:r>
          </w:p>
        </w:tc>
        <w:tc>
          <w:tcPr>
            <w:tcW w:w="5580" w:type="dxa"/>
            <w:shd w:val="clear" w:color="auto" w:fill="auto"/>
          </w:tcPr>
          <w:p w:rsidR="00875C52" w:rsidRPr="00D26B90" w:rsidRDefault="00875C52" w:rsidP="00BE271A">
            <w:pPr>
              <w:jc w:val="both"/>
              <w:rPr>
                <w:bCs/>
                <w:i/>
                <w:iCs/>
                <w:color w:val="000000"/>
                <w:lang w:val="uk-UA"/>
              </w:rPr>
            </w:pPr>
            <w:r w:rsidRPr="00D26B90">
              <w:rPr>
                <w:bCs/>
                <w:i/>
                <w:iCs/>
                <w:color w:val="000000"/>
                <w:lang w:val="uk-UA"/>
              </w:rPr>
              <w:t>Презентація міжнародної інвестиційної стратегії однієї з ТНК за вибором (</w:t>
            </w:r>
            <w:proofErr w:type="spellStart"/>
            <w:r w:rsidRPr="00D26B90">
              <w:rPr>
                <w:bCs/>
                <w:i/>
                <w:iCs/>
                <w:color w:val="000000"/>
                <w:lang w:val="uk-UA"/>
              </w:rPr>
              <w:t>max</w:t>
            </w:r>
            <w:proofErr w:type="spellEnd"/>
            <w:r w:rsidRPr="00D26B90">
              <w:rPr>
                <w:bCs/>
                <w:i/>
                <w:iCs/>
                <w:color w:val="000000"/>
                <w:lang w:val="uk-UA"/>
              </w:rPr>
              <w:t xml:space="preserve"> </w:t>
            </w:r>
            <w:r w:rsidR="0062446C">
              <w:rPr>
                <w:bCs/>
                <w:i/>
                <w:iCs/>
                <w:color w:val="000000"/>
                <w:lang w:val="uk-UA"/>
              </w:rPr>
              <w:t xml:space="preserve"> 20</w:t>
            </w:r>
            <w:bookmarkStart w:id="0" w:name="_GoBack"/>
            <w:bookmarkEnd w:id="0"/>
            <w:r w:rsidRPr="00D26B90">
              <w:rPr>
                <w:bCs/>
                <w:i/>
                <w:iCs/>
                <w:color w:val="000000"/>
                <w:lang w:val="uk-UA"/>
              </w:rPr>
              <w:t xml:space="preserve"> балів)</w:t>
            </w:r>
          </w:p>
          <w:p w:rsidR="00875C52" w:rsidRPr="00D26B90" w:rsidRDefault="00875C52" w:rsidP="00BE271A">
            <w:pPr>
              <w:jc w:val="both"/>
              <w:rPr>
                <w:color w:val="000000"/>
                <w:lang w:val="uk-UA"/>
              </w:rPr>
            </w:pPr>
            <w:r w:rsidRPr="00D26B90">
              <w:rPr>
                <w:bCs/>
                <w:i/>
                <w:iCs/>
                <w:color w:val="000000"/>
                <w:lang w:val="uk-UA"/>
              </w:rPr>
              <w:t xml:space="preserve">Захист дослідницького </w:t>
            </w:r>
            <w:proofErr w:type="spellStart"/>
            <w:r w:rsidRPr="00D26B90">
              <w:rPr>
                <w:bCs/>
                <w:i/>
                <w:iCs/>
                <w:color w:val="000000"/>
                <w:lang w:val="uk-UA"/>
              </w:rPr>
              <w:t>проєкту</w:t>
            </w:r>
            <w:proofErr w:type="spellEnd"/>
            <w:r w:rsidRPr="00D26B90">
              <w:rPr>
                <w:bCs/>
                <w:i/>
                <w:iCs/>
                <w:color w:val="000000"/>
                <w:lang w:val="uk-UA"/>
              </w:rPr>
              <w:t xml:space="preserve"> (</w:t>
            </w:r>
            <w:proofErr w:type="spellStart"/>
            <w:r w:rsidRPr="00D26B90">
              <w:rPr>
                <w:bCs/>
                <w:i/>
                <w:iCs/>
                <w:color w:val="000000"/>
                <w:lang w:val="uk-UA"/>
              </w:rPr>
              <w:t>max</w:t>
            </w:r>
            <w:proofErr w:type="spellEnd"/>
            <w:r w:rsidRPr="00D26B90">
              <w:rPr>
                <w:bCs/>
                <w:i/>
                <w:iCs/>
                <w:color w:val="000000"/>
                <w:lang w:val="uk-UA"/>
              </w:rPr>
              <w:t xml:space="preserve"> 20 балів)</w:t>
            </w:r>
          </w:p>
        </w:tc>
      </w:tr>
    </w:tbl>
    <w:p w:rsidR="00875C52" w:rsidRPr="00EF5BEC" w:rsidRDefault="00875C52" w:rsidP="00875C52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4253"/>
        <w:gridCol w:w="2126"/>
        <w:gridCol w:w="1656"/>
      </w:tblGrid>
      <w:tr w:rsidR="00875C52" w:rsidRPr="00EF5BEC" w:rsidTr="00BE271A">
        <w:trPr>
          <w:cantSplit/>
          <w:trHeight w:val="205"/>
          <w:jc w:val="center"/>
        </w:trPr>
        <w:tc>
          <w:tcPr>
            <w:tcW w:w="1967" w:type="dxa"/>
            <w:vMerge w:val="restart"/>
          </w:tcPr>
          <w:p w:rsidR="00875C52" w:rsidRPr="00EF5BEC" w:rsidRDefault="00875C52" w:rsidP="00BE271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875C52" w:rsidRPr="00EF5BEC" w:rsidRDefault="00875C52" w:rsidP="00BE271A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875C52" w:rsidRPr="00EF5BEC" w:rsidRDefault="00875C52" w:rsidP="00BE271A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782" w:type="dxa"/>
            <w:gridSpan w:val="2"/>
          </w:tcPr>
          <w:p w:rsidR="00875C52" w:rsidRPr="00EF5BEC" w:rsidRDefault="00875C52" w:rsidP="00BE271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875C52" w:rsidRPr="00EF5BEC" w:rsidTr="00BE271A">
        <w:trPr>
          <w:cantSplit/>
          <w:trHeight w:val="58"/>
          <w:jc w:val="center"/>
        </w:trPr>
        <w:tc>
          <w:tcPr>
            <w:tcW w:w="1967" w:type="dxa"/>
            <w:vMerge/>
          </w:tcPr>
          <w:p w:rsidR="00875C52" w:rsidRPr="00EF5BEC" w:rsidRDefault="00875C52" w:rsidP="00BE271A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875C52" w:rsidRPr="00EF5BEC" w:rsidRDefault="00875C52" w:rsidP="00BE271A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875C52" w:rsidRPr="00EF5BEC" w:rsidRDefault="00875C52" w:rsidP="00BE271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656" w:type="dxa"/>
          </w:tcPr>
          <w:p w:rsidR="00875C52" w:rsidRPr="00EF5BEC" w:rsidRDefault="00875C52" w:rsidP="00BE271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875C52" w:rsidRPr="00EF5BEC" w:rsidTr="00BE271A">
        <w:trPr>
          <w:cantSplit/>
          <w:jc w:val="center"/>
        </w:trPr>
        <w:tc>
          <w:tcPr>
            <w:tcW w:w="1967" w:type="dxa"/>
            <w:vAlign w:val="center"/>
          </w:tcPr>
          <w:p w:rsidR="00875C52" w:rsidRPr="00EF5BEC" w:rsidRDefault="00875C52" w:rsidP="00BE271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875C52" w:rsidRPr="00EF5BEC" w:rsidRDefault="00875C52" w:rsidP="00BE271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875C52" w:rsidRPr="00EF5BEC" w:rsidRDefault="00875C52" w:rsidP="00BE271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656" w:type="dxa"/>
            <w:vMerge w:val="restart"/>
            <w:vAlign w:val="center"/>
          </w:tcPr>
          <w:p w:rsidR="00875C52" w:rsidRPr="00EF5BEC" w:rsidRDefault="00875C52" w:rsidP="00BE271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875C52" w:rsidRPr="00EF5BEC" w:rsidTr="00BE271A">
        <w:trPr>
          <w:cantSplit/>
          <w:jc w:val="center"/>
        </w:trPr>
        <w:tc>
          <w:tcPr>
            <w:tcW w:w="1967" w:type="dxa"/>
            <w:vAlign w:val="center"/>
          </w:tcPr>
          <w:p w:rsidR="00875C52" w:rsidRPr="00EF5BEC" w:rsidRDefault="00875C52" w:rsidP="00BE271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875C52" w:rsidRPr="00EF5BEC" w:rsidRDefault="00875C52" w:rsidP="00BE271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656" w:type="dxa"/>
            <w:vMerge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75C52" w:rsidRPr="00EF5BEC" w:rsidTr="00BE271A">
        <w:trPr>
          <w:cantSplit/>
          <w:jc w:val="center"/>
        </w:trPr>
        <w:tc>
          <w:tcPr>
            <w:tcW w:w="1967" w:type="dxa"/>
            <w:vAlign w:val="center"/>
          </w:tcPr>
          <w:p w:rsidR="00875C52" w:rsidRPr="00EF5BEC" w:rsidRDefault="00875C52" w:rsidP="00BE271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875C52" w:rsidRPr="00EF5BEC" w:rsidRDefault="00875C52" w:rsidP="00BE271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656" w:type="dxa"/>
            <w:vMerge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75C52" w:rsidRPr="00EF5BEC" w:rsidTr="00BE271A">
        <w:trPr>
          <w:cantSplit/>
          <w:jc w:val="center"/>
        </w:trPr>
        <w:tc>
          <w:tcPr>
            <w:tcW w:w="1967" w:type="dxa"/>
            <w:vAlign w:val="center"/>
          </w:tcPr>
          <w:p w:rsidR="00875C52" w:rsidRPr="00EF5BEC" w:rsidRDefault="00875C52" w:rsidP="00BE271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875C52" w:rsidRPr="00EF5BEC" w:rsidRDefault="00875C52" w:rsidP="00BE271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656" w:type="dxa"/>
            <w:vMerge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75C52" w:rsidRPr="00EF5BEC" w:rsidTr="00BE271A">
        <w:trPr>
          <w:cantSplit/>
          <w:jc w:val="center"/>
        </w:trPr>
        <w:tc>
          <w:tcPr>
            <w:tcW w:w="1967" w:type="dxa"/>
            <w:vAlign w:val="center"/>
          </w:tcPr>
          <w:p w:rsidR="00875C52" w:rsidRPr="00EF5BEC" w:rsidRDefault="00875C52" w:rsidP="00BE271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875C52" w:rsidRPr="00EF5BEC" w:rsidRDefault="00875C52" w:rsidP="00BE271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656" w:type="dxa"/>
            <w:vMerge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75C52" w:rsidRPr="00EF5BEC" w:rsidTr="00BE271A">
        <w:trPr>
          <w:cantSplit/>
          <w:jc w:val="center"/>
        </w:trPr>
        <w:tc>
          <w:tcPr>
            <w:tcW w:w="1967" w:type="dxa"/>
            <w:vAlign w:val="center"/>
          </w:tcPr>
          <w:p w:rsidR="00875C52" w:rsidRPr="00EF5BEC" w:rsidRDefault="00875C52" w:rsidP="00BE271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875C52" w:rsidRPr="00EF5BEC" w:rsidRDefault="00875C52" w:rsidP="00BE271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875C52" w:rsidRPr="00EF5BEC" w:rsidRDefault="00875C52" w:rsidP="00BE271A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875C52" w:rsidRPr="0062446C" w:rsidTr="00BE271A">
        <w:trPr>
          <w:cantSplit/>
          <w:jc w:val="center"/>
        </w:trPr>
        <w:tc>
          <w:tcPr>
            <w:tcW w:w="1967" w:type="dxa"/>
            <w:vAlign w:val="center"/>
          </w:tcPr>
          <w:p w:rsidR="00875C52" w:rsidRPr="00EF5BEC" w:rsidRDefault="00875C52" w:rsidP="00BE271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875C52" w:rsidRPr="00EF5BEC" w:rsidRDefault="00875C52" w:rsidP="00BE271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656" w:type="dxa"/>
            <w:vMerge/>
          </w:tcPr>
          <w:p w:rsidR="00875C52" w:rsidRPr="00EF5BEC" w:rsidRDefault="00875C52" w:rsidP="00BE271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1C0BCE" w:rsidRPr="00875C52" w:rsidRDefault="001C0BCE">
      <w:pPr>
        <w:rPr>
          <w:lang w:val="ru-RU"/>
        </w:rPr>
      </w:pPr>
    </w:p>
    <w:sectPr w:rsidR="001C0BCE" w:rsidRPr="00875C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16"/>
    <w:rsid w:val="001C0BCE"/>
    <w:rsid w:val="00231816"/>
    <w:rsid w:val="00365752"/>
    <w:rsid w:val="0062446C"/>
    <w:rsid w:val="00875C52"/>
    <w:rsid w:val="008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75C52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75C52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875C52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875C52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875C52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5C52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75C52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75C52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75C52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75C52"/>
    <w:rPr>
      <w:rFonts w:ascii="Calibri" w:eastAsia="MS Gothic" w:hAnsi="Calibri" w:cs="Calibri"/>
      <w:color w:val="243F60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875C52"/>
    <w:pPr>
      <w:ind w:left="720"/>
    </w:pPr>
  </w:style>
  <w:style w:type="paragraph" w:customStyle="1" w:styleId="Default">
    <w:name w:val="Default"/>
    <w:rsid w:val="00875C5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75C52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75C52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875C52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875C52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875C52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5C52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75C52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75C52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75C52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75C52"/>
    <w:rPr>
      <w:rFonts w:ascii="Calibri" w:eastAsia="MS Gothic" w:hAnsi="Calibri" w:cs="Calibri"/>
      <w:color w:val="243F60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875C52"/>
    <w:pPr>
      <w:ind w:left="720"/>
    </w:pPr>
  </w:style>
  <w:style w:type="paragraph" w:customStyle="1" w:styleId="Default">
    <w:name w:val="Default"/>
    <w:rsid w:val="00875C5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1258</Words>
  <Characters>718</Characters>
  <Application>Microsoft Office Word</Application>
  <DocSecurity>0</DocSecurity>
  <Lines>5</Lines>
  <Paragraphs>3</Paragraphs>
  <ScaleCrop>false</ScaleCrop>
  <Company>Home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2021-09-09T22:57:00Z</dcterms:created>
  <dcterms:modified xsi:type="dcterms:W3CDTF">2023-03-12T13:18:00Z</dcterms:modified>
</cp:coreProperties>
</file>