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6E796" w14:textId="77777777" w:rsidR="005F3520" w:rsidRPr="003D4FBB" w:rsidRDefault="005F3520" w:rsidP="005F3520">
      <w:pPr>
        <w:shd w:val="clear" w:color="auto" w:fill="FFFFFF"/>
        <w:jc w:val="center"/>
        <w:rPr>
          <w:b/>
        </w:rPr>
      </w:pPr>
      <w:r w:rsidRPr="003D4FBB">
        <w:rPr>
          <w:b/>
        </w:rPr>
        <w:t>Рекомендована література</w:t>
      </w:r>
    </w:p>
    <w:p w14:paraId="5B4F48D9" w14:textId="77777777" w:rsidR="005F3520" w:rsidRDefault="005F3520" w:rsidP="005F3520">
      <w:pPr>
        <w:jc w:val="both"/>
        <w:rPr>
          <w:b/>
        </w:rPr>
      </w:pPr>
      <w:r w:rsidRPr="003D4FBB">
        <w:rPr>
          <w:b/>
        </w:rPr>
        <w:t>Основна:</w:t>
      </w:r>
    </w:p>
    <w:p w14:paraId="0BAA8121" w14:textId="77777777" w:rsidR="005F3520" w:rsidRPr="00105647" w:rsidRDefault="005F3520" w:rsidP="005F3520">
      <w:pPr>
        <w:pStyle w:val="a9"/>
        <w:numPr>
          <w:ilvl w:val="0"/>
          <w:numId w:val="3"/>
        </w:numPr>
        <w:ind w:left="284" w:firstLine="0"/>
        <w:jc w:val="both"/>
        <w:rPr>
          <w:shd w:val="clear" w:color="auto" w:fill="FFFFFF"/>
        </w:rPr>
      </w:pPr>
      <w:r w:rsidRPr="00105647">
        <w:rPr>
          <w:bCs/>
          <w:color w:val="414141"/>
          <w:shd w:val="clear" w:color="auto" w:fill="FFFFFF"/>
        </w:rPr>
        <w:t>Гендер для медій :</w:t>
      </w:r>
      <w:r w:rsidRPr="00105647">
        <w:rPr>
          <w:color w:val="414141"/>
          <w:shd w:val="clear" w:color="auto" w:fill="FFFFFF"/>
        </w:rPr>
        <w:t> підручник із гендерної теорії для журналістики та інших соціогуманітарних спеціальностей / за ред. М. Маєрчик . Київ: Критика, 2017.  217 с.</w:t>
      </w:r>
    </w:p>
    <w:p w14:paraId="27288FBA" w14:textId="77777777" w:rsidR="005F3520" w:rsidRPr="00105647" w:rsidRDefault="005F3520" w:rsidP="005F3520">
      <w:pPr>
        <w:pStyle w:val="a9"/>
        <w:numPr>
          <w:ilvl w:val="0"/>
          <w:numId w:val="3"/>
        </w:numPr>
        <w:ind w:left="284" w:firstLine="0"/>
        <w:jc w:val="both"/>
        <w:rPr>
          <w:lang w:eastAsia="en-US"/>
        </w:rPr>
      </w:pPr>
      <w:r w:rsidRPr="00105647">
        <w:rPr>
          <w:shd w:val="clear" w:color="auto" w:fill="FFFFFF"/>
        </w:rPr>
        <w:t>Гендерні медійні практики: Навчальний посібник із гендерної рівності та недискримінації для студентів вищих навчальних закладів / Колектив авторів. Київ, 2016. 206 с.</w:t>
      </w:r>
    </w:p>
    <w:p w14:paraId="5A1EAA03" w14:textId="77777777" w:rsidR="005F3520" w:rsidRPr="00105647" w:rsidRDefault="005F3520" w:rsidP="005F3520">
      <w:pPr>
        <w:pStyle w:val="a9"/>
        <w:numPr>
          <w:ilvl w:val="0"/>
          <w:numId w:val="3"/>
        </w:numPr>
        <w:suppressAutoHyphens w:val="0"/>
        <w:ind w:left="284" w:firstLine="0"/>
        <w:jc w:val="both"/>
      </w:pPr>
      <w:r w:rsidRPr="00105647">
        <w:t>Основи теорії гендеру: Навчальний посібник. Київ : «КІС», 2017.</w:t>
      </w:r>
      <w:bookmarkStart w:id="0" w:name="_Ref353205621"/>
      <w:bookmarkStart w:id="1" w:name="_Ref353205614"/>
      <w:r w:rsidRPr="00105647">
        <w:t xml:space="preserve"> 536 с.</w:t>
      </w:r>
      <w:bookmarkEnd w:id="0"/>
      <w:bookmarkEnd w:id="1"/>
    </w:p>
    <w:p w14:paraId="656D0DF4" w14:textId="77777777" w:rsidR="005F3520" w:rsidRPr="00105647" w:rsidRDefault="005F3520" w:rsidP="005F3520">
      <w:pPr>
        <w:pStyle w:val="a9"/>
        <w:numPr>
          <w:ilvl w:val="0"/>
          <w:numId w:val="3"/>
        </w:numPr>
        <w:suppressAutoHyphens w:val="0"/>
        <w:ind w:left="284" w:firstLine="0"/>
        <w:jc w:val="both"/>
      </w:pPr>
      <w:r w:rsidRPr="00105647">
        <w:t xml:space="preserve">Назарова Г. В., Сотникова Ю. В. Креативна економіка та менеджмент : навч. посіб. Харків : ХНЕУ ім. С. Кузнеця, 2018. 159 с </w:t>
      </w:r>
    </w:p>
    <w:p w14:paraId="23BD33D1" w14:textId="77777777" w:rsidR="005F3520" w:rsidRPr="00105647" w:rsidRDefault="005F3520" w:rsidP="005F3520">
      <w:pPr>
        <w:pStyle w:val="a9"/>
        <w:numPr>
          <w:ilvl w:val="0"/>
          <w:numId w:val="3"/>
        </w:numPr>
        <w:suppressAutoHyphens w:val="0"/>
        <w:ind w:left="284" w:firstLine="0"/>
        <w:jc w:val="both"/>
      </w:pPr>
      <w:r w:rsidRPr="00105647">
        <w:t>Свидрук І. І. Креативний менеджмент : навч. посіб. Київ : Центр учбової літератури, 2017. 224 с.</w:t>
      </w:r>
    </w:p>
    <w:p w14:paraId="2C799B2A" w14:textId="77777777" w:rsidR="005F3520" w:rsidRPr="003D4FBB" w:rsidRDefault="005F3520" w:rsidP="005F3520">
      <w:pPr>
        <w:jc w:val="both"/>
        <w:rPr>
          <w:b/>
        </w:rPr>
      </w:pPr>
      <w:r w:rsidRPr="003D4FBB">
        <w:rPr>
          <w:b/>
        </w:rPr>
        <w:t>Додаткова:</w:t>
      </w:r>
    </w:p>
    <w:p w14:paraId="5042639D" w14:textId="77777777" w:rsidR="005F3520" w:rsidRDefault="005F3520" w:rsidP="005F3520">
      <w:pPr>
        <w:pStyle w:val="a9"/>
        <w:numPr>
          <w:ilvl w:val="0"/>
          <w:numId w:val="2"/>
        </w:numPr>
        <w:ind w:left="0" w:firstLine="360"/>
        <w:jc w:val="both"/>
      </w:pPr>
      <w:r w:rsidRPr="003D4FBB">
        <w:t xml:space="preserve">Бакуменко В., Грицяк Н. Теоретико–методологічні засади гендерної політики: закономірності та фактори вибору. </w:t>
      </w:r>
      <w:r w:rsidRPr="004216E7">
        <w:rPr>
          <w:i/>
        </w:rPr>
        <w:t>Збірник наукових праць Української академії державного управління при Президентові України.</w:t>
      </w:r>
      <w:r w:rsidRPr="003D4FBB">
        <w:t xml:space="preserve"> 2004.  № 1. С. 14–24. </w:t>
      </w:r>
    </w:p>
    <w:p w14:paraId="1DF45135" w14:textId="77777777" w:rsidR="005F3520" w:rsidRPr="003D4FBB" w:rsidRDefault="005F3520" w:rsidP="005F3520">
      <w:pPr>
        <w:pStyle w:val="Default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3D4FBB">
        <w:rPr>
          <w:lang w:val="uk-UA"/>
        </w:rPr>
        <w:t xml:space="preserve">Гапон Н. Гендер у гуманітарному дискурсі: філософсько–психологічний аналіз. Львів : Літопис, 2002. 310 с. </w:t>
      </w:r>
    </w:p>
    <w:p w14:paraId="40DC298F" w14:textId="77777777" w:rsidR="005F3520" w:rsidRPr="003D4FBB" w:rsidRDefault="005F3520" w:rsidP="005F3520">
      <w:pPr>
        <w:pStyle w:val="a9"/>
        <w:numPr>
          <w:ilvl w:val="0"/>
          <w:numId w:val="2"/>
        </w:numPr>
        <w:ind w:left="0" w:firstLine="360"/>
        <w:jc w:val="both"/>
      </w:pPr>
      <w:r w:rsidRPr="003D4FBB">
        <w:t xml:space="preserve">Гапон Н.Н. Епістемологічне підгрунття досліджень гендеру в другій половині XX сторіччя. </w:t>
      </w:r>
      <w:r w:rsidRPr="004216E7">
        <w:rPr>
          <w:i/>
        </w:rPr>
        <w:t>Наука. Релігія. Суспільство.</w:t>
      </w:r>
      <w:r w:rsidRPr="003D4FBB">
        <w:t xml:space="preserve"> 2004. № 1. С. 111–115.</w:t>
      </w:r>
    </w:p>
    <w:p w14:paraId="59331B7B" w14:textId="77777777" w:rsidR="005F3520" w:rsidRPr="003D4FBB" w:rsidRDefault="005F3520" w:rsidP="005F3520">
      <w:pPr>
        <w:pStyle w:val="a9"/>
        <w:numPr>
          <w:ilvl w:val="0"/>
          <w:numId w:val="2"/>
        </w:numPr>
        <w:ind w:left="0" w:firstLine="360"/>
        <w:jc w:val="both"/>
      </w:pPr>
      <w:r w:rsidRPr="003D4FBB">
        <w:t xml:space="preserve">Гендерний розвиток у суспільстві: (конспекти лекцій). Київ : ПЦ «Фоліант», 2005. 351 с. </w:t>
      </w:r>
    </w:p>
    <w:p w14:paraId="18B210EF" w14:textId="77777777" w:rsidR="005F3520" w:rsidRPr="003D4FBB" w:rsidRDefault="005F3520" w:rsidP="005F3520">
      <w:pPr>
        <w:pStyle w:val="a9"/>
        <w:numPr>
          <w:ilvl w:val="0"/>
          <w:numId w:val="2"/>
        </w:numPr>
        <w:ind w:left="0" w:firstLine="360"/>
        <w:jc w:val="both"/>
      </w:pPr>
      <w:r w:rsidRPr="003D4FBB">
        <w:t xml:space="preserve">Грицяк Н. Гендерний фактор як наукова категорія і соціально–політичний феномен. </w:t>
      </w:r>
      <w:r w:rsidRPr="004216E7">
        <w:rPr>
          <w:i/>
        </w:rPr>
        <w:t>Зб. наукових праць Національної академії державного управління при Президентові України.</w:t>
      </w:r>
      <w:r w:rsidRPr="003D4FBB">
        <w:t xml:space="preserve"> 2003. Вип. 2. С. 73–83. </w:t>
      </w:r>
    </w:p>
    <w:p w14:paraId="02404CBC" w14:textId="77777777" w:rsidR="005F3520" w:rsidRPr="003D4FBB" w:rsidRDefault="005F3520" w:rsidP="005F3520">
      <w:pPr>
        <w:pStyle w:val="a9"/>
        <w:numPr>
          <w:ilvl w:val="0"/>
          <w:numId w:val="2"/>
        </w:numPr>
        <w:ind w:left="0" w:firstLine="360"/>
        <w:jc w:val="both"/>
      </w:pPr>
      <w:r w:rsidRPr="003D4FBB">
        <w:t xml:space="preserve">Жіночі права. Крок за кроком: Практичний посібник з використання міжнародного закону про права людини і механізмів захисту прав жінок у контексті прав людини./ Пер. </w:t>
      </w:r>
      <w:r>
        <w:t>з</w:t>
      </w:r>
      <w:r w:rsidRPr="003D4FBB">
        <w:t xml:space="preserve"> англ. М. Корчинська, Л. Малець. Київ : Основи, 1999. 249 с. </w:t>
      </w:r>
    </w:p>
    <w:p w14:paraId="77CC8CB4" w14:textId="77777777" w:rsidR="005F3520" w:rsidRPr="003D4FBB" w:rsidRDefault="005F3520" w:rsidP="005F3520">
      <w:pPr>
        <w:pStyle w:val="a9"/>
        <w:numPr>
          <w:ilvl w:val="0"/>
          <w:numId w:val="2"/>
        </w:numPr>
        <w:ind w:left="0" w:firstLine="360"/>
        <w:jc w:val="both"/>
      </w:pPr>
      <w:r w:rsidRPr="003D4FBB">
        <w:t>Звіт щодо опрацювання даних для міст Дніпро, Київ, Львів, Одеса, Харків апробаційного дослідження «Індекс культурного та креативного потенціалу міст України». К. : Аналітичний центр CEDOS, 2018. 20 c.</w:t>
      </w:r>
    </w:p>
    <w:p w14:paraId="7D3ECF5F" w14:textId="77777777" w:rsidR="005F3520" w:rsidRPr="003D4FBB" w:rsidRDefault="005F3520" w:rsidP="005F3520">
      <w:pPr>
        <w:pStyle w:val="a9"/>
        <w:numPr>
          <w:ilvl w:val="0"/>
          <w:numId w:val="2"/>
        </w:numPr>
        <w:ind w:left="0" w:firstLine="360"/>
        <w:jc w:val="both"/>
      </w:pPr>
      <w:r w:rsidRPr="003D4FBB">
        <w:t xml:space="preserve">Іващенко О. Гендерна наукова перспектива: від світогляду до політики. </w:t>
      </w:r>
      <w:r w:rsidRPr="004216E7">
        <w:rPr>
          <w:i/>
        </w:rPr>
        <w:t>Соціологія: теорія, методи, маркетинг</w:t>
      </w:r>
      <w:r w:rsidRPr="003D4FBB">
        <w:t xml:space="preserve">. 1998. № 6. С. 79–90. </w:t>
      </w:r>
    </w:p>
    <w:p w14:paraId="6DA67BB3" w14:textId="77777777" w:rsidR="005F3520" w:rsidRPr="003D4FBB" w:rsidRDefault="005F3520" w:rsidP="005F3520">
      <w:pPr>
        <w:pStyle w:val="a9"/>
        <w:numPr>
          <w:ilvl w:val="0"/>
          <w:numId w:val="2"/>
        </w:numPr>
        <w:ind w:left="0" w:firstLine="360"/>
        <w:jc w:val="both"/>
      </w:pPr>
      <w:r w:rsidRPr="003D4FBB">
        <w:t xml:space="preserve">Пархоменко І. І. Поняття «культурні» та «креативні індустрії» в західноєвропейському науковому дискурсі та урядово-інституційних практиках Великобританії та Європейського Союзу. </w:t>
      </w:r>
      <w:r w:rsidRPr="004216E7">
        <w:rPr>
          <w:i/>
        </w:rPr>
        <w:t>Українські культурологічні студії.</w:t>
      </w:r>
      <w:r w:rsidRPr="003D4FBB">
        <w:t xml:space="preserve"> 2017. №1. С. 74-78.</w:t>
      </w:r>
    </w:p>
    <w:p w14:paraId="26E47C89" w14:textId="77777777" w:rsidR="005F3520" w:rsidRPr="003D4FBB" w:rsidRDefault="005F3520" w:rsidP="005F3520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</w:pPr>
      <w:r w:rsidRPr="003D4FBB">
        <w:t>Bilton C. Management and creativity: From creative industries to creative management. New Jersey : Blackwell Publishing, 2007. 125 р.</w:t>
      </w:r>
    </w:p>
    <w:p w14:paraId="268A6D03" w14:textId="77777777" w:rsidR="005F3520" w:rsidRPr="003D4FBB" w:rsidRDefault="005F3520" w:rsidP="005F3520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bCs/>
        </w:rPr>
      </w:pPr>
      <w:r w:rsidRPr="003D4FBB">
        <w:t xml:space="preserve">Foord J. Strategies for creative industries: an international review. </w:t>
      </w:r>
      <w:r w:rsidRPr="003D4FBB">
        <w:rPr>
          <w:i/>
        </w:rPr>
        <w:t>Creative Industries Journal.</w:t>
      </w:r>
      <w:r w:rsidRPr="003D4FBB">
        <w:t xml:space="preserve"> 2009. №. 2 (V.1). С. 91-113.</w:t>
      </w:r>
    </w:p>
    <w:p w14:paraId="2784CC61" w14:textId="77777777" w:rsidR="005F3520" w:rsidRPr="003D4FBB" w:rsidRDefault="005F3520" w:rsidP="005F3520">
      <w:pPr>
        <w:pStyle w:val="Default"/>
        <w:numPr>
          <w:ilvl w:val="0"/>
          <w:numId w:val="2"/>
        </w:numPr>
        <w:ind w:left="0" w:firstLine="360"/>
        <w:jc w:val="both"/>
        <w:rPr>
          <w:lang w:val="uk-UA"/>
        </w:rPr>
      </w:pPr>
      <w:bookmarkStart w:id="2" w:name="_Ref353202070"/>
      <w:r w:rsidRPr="003D4FBB">
        <w:rPr>
          <w:lang w:val="uk-UA"/>
        </w:rPr>
        <w:t xml:space="preserve">Cameron D. A. Feminist Critique of Language. London, New York : Routledge, 1998. 368 р. </w:t>
      </w:r>
      <w:bookmarkEnd w:id="2"/>
      <w:r w:rsidRPr="003D4FBB">
        <w:rPr>
          <w:bCs/>
          <w:lang w:val="uk-UA"/>
        </w:rPr>
        <w:t>Gender and Women's Studies : Handbook. London : sage Publishing, 2016. 512 p.</w:t>
      </w:r>
    </w:p>
    <w:p w14:paraId="2CA1793C" w14:textId="77777777" w:rsidR="005F3520" w:rsidRPr="003D4FBB" w:rsidRDefault="005F3520" w:rsidP="005F3520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</w:pPr>
      <w:bookmarkStart w:id="3" w:name="_Ref353202172"/>
      <w:r w:rsidRPr="003D4FBB">
        <w:t>Eagly A. H. Sex differences in social behavior: A social–role interpretation. Hillsdale, NJ : Erlbaum, 1987. 274 р.</w:t>
      </w:r>
      <w:bookmarkEnd w:id="3"/>
    </w:p>
    <w:p w14:paraId="49B4BE06" w14:textId="77777777" w:rsidR="005F3520" w:rsidRPr="003D4FBB" w:rsidRDefault="005F3520" w:rsidP="005F3520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iCs/>
        </w:rPr>
      </w:pPr>
      <w:bookmarkStart w:id="4" w:name="_Ref353202212"/>
      <w:r w:rsidRPr="003D4FBB">
        <w:t xml:space="preserve">Kramarae Ch. </w:t>
      </w:r>
      <w:r w:rsidRPr="003D4FBB">
        <w:rPr>
          <w:iCs/>
        </w:rPr>
        <w:t xml:space="preserve">Women and Men Speaking: Frameworks for Analysis. </w:t>
      </w:r>
      <w:r w:rsidRPr="003D4FBB">
        <w:t>Rowley, Mass : Newbury House, 1981. 194 р.</w:t>
      </w:r>
      <w:bookmarkEnd w:id="4"/>
    </w:p>
    <w:p w14:paraId="35EAD41B" w14:textId="77777777" w:rsidR="005F3520" w:rsidRPr="003D4FBB" w:rsidRDefault="005F3520" w:rsidP="005F3520">
      <w:pPr>
        <w:pStyle w:val="a9"/>
        <w:numPr>
          <w:ilvl w:val="0"/>
          <w:numId w:val="2"/>
        </w:numPr>
        <w:ind w:left="0" w:firstLine="360"/>
        <w:jc w:val="both"/>
      </w:pPr>
      <w:r w:rsidRPr="003D4FBB">
        <w:t xml:space="preserve">Moghadam V. M. Gender and Globalization: Female Labor and Women’s Mobilization. </w:t>
      </w:r>
      <w:r w:rsidRPr="003D4FBB">
        <w:rPr>
          <w:i/>
        </w:rPr>
        <w:t>Journal of World–Systems Research.</w:t>
      </w:r>
      <w:r w:rsidRPr="003D4FBB">
        <w:t xml:space="preserve"> 1999. vol. V (2). P. 367–388. </w:t>
      </w:r>
    </w:p>
    <w:p w14:paraId="0CD7E72E" w14:textId="77777777" w:rsidR="005F3520" w:rsidRPr="003D4FBB" w:rsidRDefault="005F3520" w:rsidP="005F3520">
      <w:pPr>
        <w:pStyle w:val="a9"/>
        <w:numPr>
          <w:ilvl w:val="0"/>
          <w:numId w:val="2"/>
        </w:numPr>
        <w:shd w:val="clear" w:color="auto" w:fill="FFFFFF"/>
        <w:suppressAutoHyphens w:val="0"/>
        <w:ind w:left="0" w:firstLine="360"/>
        <w:jc w:val="both"/>
      </w:pPr>
      <w:hyperlink r:id="rId5" w:history="1">
        <w:r w:rsidRPr="003D4FBB">
          <w:rPr>
            <w:rStyle w:val="ae"/>
            <w:rFonts w:eastAsiaTheme="majorEastAsia"/>
            <w:color w:val="auto"/>
            <w:spacing w:val="3"/>
          </w:rPr>
          <w:t>Soh</w:t>
        </w:r>
      </w:hyperlink>
      <w:r w:rsidRPr="003D4FBB">
        <w:t xml:space="preserve"> </w:t>
      </w:r>
      <w:r w:rsidRPr="003D4FBB">
        <w:rPr>
          <w:spacing w:val="3"/>
        </w:rPr>
        <w:t xml:space="preserve">D. </w:t>
      </w:r>
      <w:r w:rsidRPr="003D4FBB">
        <w:rPr>
          <w:bCs/>
          <w:spacing w:val="3"/>
        </w:rPr>
        <w:t>The End of Gender. Debunking the Myths about Sex and Identity in Our Society. New York : Threshold Edition, 2020. 336 p.</w:t>
      </w:r>
    </w:p>
    <w:p w14:paraId="51CC7B3E" w14:textId="77777777" w:rsidR="005F3520" w:rsidRPr="003D4FBB" w:rsidRDefault="005F3520" w:rsidP="005F3520">
      <w:pPr>
        <w:pStyle w:val="a9"/>
        <w:ind w:left="0"/>
        <w:jc w:val="both"/>
      </w:pPr>
    </w:p>
    <w:p w14:paraId="2CA0E7D2" w14:textId="77777777" w:rsidR="005F3520" w:rsidRPr="003D4FBB" w:rsidRDefault="005F3520" w:rsidP="005F3520">
      <w:pPr>
        <w:jc w:val="both"/>
        <w:rPr>
          <w:b/>
        </w:rPr>
      </w:pPr>
      <w:r w:rsidRPr="003D4FBB">
        <w:rPr>
          <w:b/>
        </w:rPr>
        <w:t>Інформаційні джерела:</w:t>
      </w:r>
    </w:p>
    <w:p w14:paraId="33EA2527" w14:textId="77777777" w:rsidR="005F3520" w:rsidRPr="003D4FBB" w:rsidRDefault="005F3520" w:rsidP="005F3520">
      <w:pPr>
        <w:pStyle w:val="a9"/>
        <w:numPr>
          <w:ilvl w:val="0"/>
          <w:numId w:val="1"/>
        </w:numPr>
        <w:suppressAutoHyphens w:val="0"/>
        <w:ind w:left="284" w:hanging="284"/>
        <w:jc w:val="both"/>
      </w:pPr>
      <w:r w:rsidRPr="003D4FBB">
        <w:t>Бібліотека ГО “Крона”. URL:   </w:t>
      </w:r>
      <w:hyperlink r:id="rId6" w:tgtFrame="[object Object]" w:history="1">
        <w:r w:rsidRPr="003D4FBB">
          <w:rPr>
            <w:rStyle w:val="ae"/>
            <w:rFonts w:eastAsiaTheme="majorEastAsia"/>
          </w:rPr>
          <w:t>http://www.krona.org.ua/uk/library</w:t>
        </w:r>
      </w:hyperlink>
    </w:p>
    <w:p w14:paraId="38A0160C" w14:textId="77777777" w:rsidR="005F3520" w:rsidRPr="003D4FBB" w:rsidRDefault="005F3520" w:rsidP="005F3520">
      <w:pPr>
        <w:pStyle w:val="a9"/>
        <w:numPr>
          <w:ilvl w:val="0"/>
          <w:numId w:val="1"/>
        </w:numPr>
        <w:suppressAutoHyphens w:val="0"/>
        <w:ind w:left="284" w:hanging="284"/>
        <w:jc w:val="both"/>
      </w:pPr>
      <w:r w:rsidRPr="003D4FBB">
        <w:t>Видання Фонду Г. Бьойля. URL:   </w:t>
      </w:r>
      <w:hyperlink r:id="rId7" w:tgtFrame="[object Object]" w:history="1">
        <w:r w:rsidRPr="003D4FBB">
          <w:rPr>
            <w:rStyle w:val="ae"/>
            <w:rFonts w:eastAsiaTheme="majorEastAsia"/>
          </w:rPr>
          <w:t>http://www.ua.boell.org/web/35.html</w:t>
        </w:r>
      </w:hyperlink>
    </w:p>
    <w:p w14:paraId="707A8BC5" w14:textId="77777777" w:rsidR="005F3520" w:rsidRPr="003D4FBB" w:rsidRDefault="005F3520" w:rsidP="005F3520">
      <w:pPr>
        <w:pStyle w:val="a9"/>
        <w:numPr>
          <w:ilvl w:val="0"/>
          <w:numId w:val="1"/>
        </w:numPr>
        <w:suppressAutoHyphens w:val="0"/>
        <w:ind w:left="284" w:hanging="284"/>
        <w:jc w:val="both"/>
        <w:rPr>
          <w:rStyle w:val="ae"/>
          <w:rFonts w:eastAsiaTheme="majorEastAsia"/>
          <w:color w:val="auto"/>
        </w:rPr>
      </w:pPr>
      <w:r w:rsidRPr="003D4FBB">
        <w:lastRenderedPageBreak/>
        <w:t>Ґендерна мапа України. URL:   </w:t>
      </w:r>
      <w:hyperlink r:id="rId8" w:tgtFrame="[object Object]" w:history="1">
        <w:r w:rsidRPr="003D4FBB">
          <w:rPr>
            <w:rStyle w:val="ae"/>
            <w:rFonts w:eastAsiaTheme="majorEastAsia"/>
          </w:rPr>
          <w:t>http://gendermap.org.ua</w:t>
        </w:r>
      </w:hyperlink>
      <w:bookmarkStart w:id="5" w:name="_Ref353202063"/>
    </w:p>
    <w:p w14:paraId="2850F45C" w14:textId="77777777" w:rsidR="005F3520" w:rsidRPr="003D4FBB" w:rsidRDefault="005F3520" w:rsidP="005F3520">
      <w:pPr>
        <w:pStyle w:val="a9"/>
        <w:numPr>
          <w:ilvl w:val="0"/>
          <w:numId w:val="1"/>
        </w:numPr>
        <w:suppressAutoHyphens w:val="0"/>
        <w:ind w:left="284" w:hanging="284"/>
        <w:jc w:val="both"/>
      </w:pPr>
      <w:r w:rsidRPr="003D4FBB">
        <w:t xml:space="preserve">Електронна бібліотека Української асоціації жіночої історії. URL: </w:t>
      </w:r>
      <w:hyperlink r:id="rId9" w:tgtFrame="[object Object]" w:history="1">
        <w:r w:rsidRPr="003D4FBB">
          <w:rPr>
            <w:rStyle w:val="ae"/>
            <w:rFonts w:eastAsiaTheme="majorEastAsia"/>
          </w:rPr>
          <w:t>http://www.womenhistory.org.ua/index.php/elektronni–resursi/16–elektronna–biblioteka</w:t>
        </w:r>
      </w:hyperlink>
    </w:p>
    <w:p w14:paraId="44BB4790" w14:textId="77777777" w:rsidR="005F3520" w:rsidRPr="003D4FBB" w:rsidRDefault="005F3520" w:rsidP="005F3520">
      <w:pPr>
        <w:pStyle w:val="a9"/>
        <w:numPr>
          <w:ilvl w:val="0"/>
          <w:numId w:val="1"/>
        </w:numPr>
        <w:suppressAutoHyphens w:val="0"/>
        <w:ind w:left="284" w:hanging="284"/>
        <w:jc w:val="both"/>
      </w:pPr>
      <w:r w:rsidRPr="003D4FBB">
        <w:t>Музей історії жіноцтва, жіночого і гендерного руху. URL:   </w:t>
      </w:r>
      <w:hyperlink r:id="rId10" w:tgtFrame="[object Object]" w:history="1">
        <w:r w:rsidRPr="003D4FBB">
          <w:rPr>
            <w:rStyle w:val="ae"/>
            <w:rFonts w:eastAsiaTheme="majorEastAsia"/>
          </w:rPr>
          <w:t>http://gender.at.ua</w:t>
        </w:r>
      </w:hyperlink>
    </w:p>
    <w:bookmarkEnd w:id="5"/>
    <w:p w14:paraId="43929F0B" w14:textId="77777777" w:rsidR="005F3520" w:rsidRPr="003D4FBB" w:rsidRDefault="005F3520" w:rsidP="005F3520">
      <w:pPr>
        <w:pStyle w:val="a9"/>
        <w:numPr>
          <w:ilvl w:val="0"/>
          <w:numId w:val="1"/>
        </w:numPr>
        <w:suppressAutoHyphens w:val="0"/>
        <w:ind w:left="284" w:hanging="284"/>
        <w:jc w:val="both"/>
        <w:rPr>
          <w:rStyle w:val="ae"/>
          <w:rFonts w:eastAsiaTheme="majorEastAsia"/>
          <w:color w:val="auto"/>
        </w:rPr>
      </w:pPr>
      <w:r w:rsidRPr="003D4FBB">
        <w:t>Повага: сайт кампанії проти сексизму у політиці та ЗМІ. URL:  </w:t>
      </w:r>
      <w:hyperlink r:id="rId11" w:tgtFrame="[object Object]" w:history="1">
        <w:r w:rsidRPr="003D4FBB">
          <w:rPr>
            <w:rStyle w:val="ae"/>
            <w:rFonts w:eastAsiaTheme="majorEastAsia"/>
          </w:rPr>
          <w:t>http://povaha.org.ua/</w:t>
        </w:r>
      </w:hyperlink>
    </w:p>
    <w:p w14:paraId="6AEC38B8" w14:textId="77777777" w:rsidR="005F3520" w:rsidRPr="003D4FBB" w:rsidRDefault="005F3520" w:rsidP="005F3520">
      <w:pPr>
        <w:pStyle w:val="a9"/>
        <w:numPr>
          <w:ilvl w:val="0"/>
          <w:numId w:val="1"/>
        </w:numPr>
        <w:suppressAutoHyphens w:val="0"/>
        <w:ind w:left="284" w:hanging="284"/>
        <w:jc w:val="both"/>
      </w:pPr>
      <w:r w:rsidRPr="003D4FBB">
        <w:t>Публікації проекту «Рівність жінок і чоловіків у світі праці». URL:   </w:t>
      </w:r>
      <w:hyperlink r:id="rId12" w:tgtFrame="[object Object]" w:history="1">
        <w:r w:rsidRPr="003D4FBB">
          <w:rPr>
            <w:rStyle w:val="ae"/>
            <w:rFonts w:eastAsiaTheme="majorEastAsia"/>
          </w:rPr>
          <w:t>http://gender.ilo.org.ua/Pages/publications_ukr_new.aspx</w:t>
        </w:r>
      </w:hyperlink>
    </w:p>
    <w:p w14:paraId="0348CEE1" w14:textId="77777777" w:rsidR="005F3520" w:rsidRPr="003D4FBB" w:rsidRDefault="005F3520" w:rsidP="005F3520">
      <w:pPr>
        <w:pStyle w:val="a9"/>
        <w:numPr>
          <w:ilvl w:val="0"/>
          <w:numId w:val="1"/>
        </w:numPr>
        <w:suppressAutoHyphens w:val="0"/>
        <w:ind w:left="284" w:hanging="284"/>
        <w:jc w:val="both"/>
      </w:pPr>
      <w:r w:rsidRPr="003D4FBB">
        <w:t>Публікації Міжнародного благодійного фонду «Український жіночий фонд». URL:   </w:t>
      </w:r>
      <w:hyperlink r:id="rId13" w:tgtFrame="[object Object]" w:history="1">
        <w:r w:rsidRPr="003D4FBB">
          <w:rPr>
            <w:rStyle w:val="ae"/>
            <w:rFonts w:eastAsiaTheme="majorEastAsia"/>
          </w:rPr>
          <w:t>http://www.uwf.kiev.ua/publications</w:t>
        </w:r>
      </w:hyperlink>
    </w:p>
    <w:p w14:paraId="1B352DBC" w14:textId="77777777" w:rsidR="005F3520" w:rsidRPr="003D4FBB" w:rsidRDefault="005F3520" w:rsidP="005F3520">
      <w:pPr>
        <w:pStyle w:val="a9"/>
        <w:numPr>
          <w:ilvl w:val="0"/>
          <w:numId w:val="1"/>
        </w:numPr>
        <w:suppressAutoHyphens w:val="0"/>
        <w:ind w:left="284" w:hanging="284"/>
        <w:jc w:val="both"/>
      </w:pPr>
      <w:r w:rsidRPr="003D4FBB">
        <w:t>World Bank Database of Gender Statistics. URL:   </w:t>
      </w:r>
      <w:hyperlink r:id="rId14" w:tgtFrame="[object Object]" w:history="1">
        <w:r w:rsidRPr="003D4FBB">
          <w:rPr>
            <w:rStyle w:val="ae"/>
            <w:rFonts w:eastAsiaTheme="majorEastAsia"/>
          </w:rPr>
          <w:t>http://genderstats.worldbank.org</w:t>
        </w:r>
      </w:hyperlink>
      <w:r w:rsidRPr="003D4FBB">
        <w:rPr>
          <w:rStyle w:val="ae"/>
          <w:rFonts w:eastAsiaTheme="majorEastAsia"/>
        </w:rPr>
        <w:t>.</w:t>
      </w:r>
    </w:p>
    <w:p w14:paraId="62284E47" w14:textId="77777777" w:rsidR="005F3520" w:rsidRPr="003D4FBB" w:rsidRDefault="005F3520" w:rsidP="005F3520">
      <w:pPr>
        <w:jc w:val="both"/>
        <w:rPr>
          <w:bCs/>
          <w:spacing w:val="-6"/>
          <w:sz w:val="28"/>
          <w:szCs w:val="28"/>
        </w:rPr>
      </w:pPr>
    </w:p>
    <w:p w14:paraId="7AF089EB" w14:textId="77777777" w:rsidR="000D2EEA" w:rsidRDefault="000D2EEA"/>
    <w:sectPr w:rsidR="000D2EEA" w:rsidSect="005F35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0739"/>
    <w:multiLevelType w:val="hybridMultilevel"/>
    <w:tmpl w:val="6B425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60811"/>
    <w:multiLevelType w:val="hybridMultilevel"/>
    <w:tmpl w:val="23B4F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27322"/>
    <w:multiLevelType w:val="hybridMultilevel"/>
    <w:tmpl w:val="00647DF0"/>
    <w:lvl w:ilvl="0" w:tplc="002E23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8101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1507967">
    <w:abstractNumId w:val="1"/>
  </w:num>
  <w:num w:numId="3" w16cid:durableId="1347441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A0"/>
    <w:rsid w:val="000D2EEA"/>
    <w:rsid w:val="00437DA6"/>
    <w:rsid w:val="005F3520"/>
    <w:rsid w:val="00886EBC"/>
    <w:rsid w:val="008D21BE"/>
    <w:rsid w:val="00E673A0"/>
    <w:rsid w:val="00FB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739EB"/>
  <w15:chartTrackingRefBased/>
  <w15:docId w15:val="{9741F01C-F31C-4BE4-9E89-D08E047C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5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7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3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3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3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3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3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3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7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73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73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73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73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73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73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73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73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67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67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673A0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E673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3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673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3A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F35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  <w14:ligatures w14:val="none"/>
    </w:rPr>
  </w:style>
  <w:style w:type="character" w:styleId="ae">
    <w:name w:val="Hyperlink"/>
    <w:basedOn w:val="a0"/>
    <w:unhideWhenUsed/>
    <w:rsid w:val="005F35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ndermap.org.ua/" TargetMode="External"/><Relationship Id="rId13" Type="http://schemas.openxmlformats.org/officeDocument/2006/relationships/hyperlink" Target="http://www.uwf.kiev.ua/publica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a.boell.org/web/35.html" TargetMode="External"/><Relationship Id="rId12" Type="http://schemas.openxmlformats.org/officeDocument/2006/relationships/hyperlink" Target="http://gender.ilo.org.ua/Pages/publications_ukr_new.asp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krona.org.ua/uk/library" TargetMode="External"/><Relationship Id="rId11" Type="http://schemas.openxmlformats.org/officeDocument/2006/relationships/hyperlink" Target="http://povaha.org.ua/" TargetMode="External"/><Relationship Id="rId5" Type="http://schemas.openxmlformats.org/officeDocument/2006/relationships/hyperlink" Target="https://www.simonandschuster.com/authors/Debra-Soh/16295907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gender.at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menhistory.org.ua/index.php/elektronni-resursi/16-elektronna-biblioteka" TargetMode="External"/><Relationship Id="rId14" Type="http://schemas.openxmlformats.org/officeDocument/2006/relationships/hyperlink" Target="http://genderstats.worldbank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3015</Words>
  <Characters>1720</Characters>
  <Application>Microsoft Office Word</Application>
  <DocSecurity>0</DocSecurity>
  <Lines>14</Lines>
  <Paragraphs>9</Paragraphs>
  <ScaleCrop>false</ScaleCrop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Чайка</dc:creator>
  <cp:keywords/>
  <dc:description/>
  <cp:lastModifiedBy>Ірина Чайка</cp:lastModifiedBy>
  <cp:revision>3</cp:revision>
  <dcterms:created xsi:type="dcterms:W3CDTF">2025-11-14T14:47:00Z</dcterms:created>
  <dcterms:modified xsi:type="dcterms:W3CDTF">2025-12-04T20:43:00Z</dcterms:modified>
</cp:coreProperties>
</file>