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14" w:rsidRDefault="00137E78" w:rsidP="00137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E78">
        <w:rPr>
          <w:rFonts w:ascii="Times New Roman" w:hAnsi="Times New Roman" w:cs="Times New Roman"/>
          <w:b/>
          <w:sz w:val="28"/>
          <w:szCs w:val="28"/>
        </w:rPr>
        <w:t>ПРАВОВ</w:t>
      </w:r>
      <w:r w:rsidRPr="00137E78">
        <w:rPr>
          <w:rFonts w:ascii="Times New Roman" w:hAnsi="Times New Roman" w:cs="Times New Roman"/>
          <w:b/>
          <w:sz w:val="28"/>
          <w:szCs w:val="28"/>
          <w:lang w:val="uk-UA"/>
        </w:rPr>
        <w:t>І ТА ОРГАНІЗАЦІЙНІ ЗАСАДИ ПРОТИДІЇ МОЛОДІЖНІЙ ЗЛОЧИННОСТІ</w:t>
      </w:r>
    </w:p>
    <w:p w:rsidR="00137E78" w:rsidRDefault="00137E78" w:rsidP="00137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E78" w:rsidRDefault="00137E78" w:rsidP="00137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ЗАЛІКУ:</w:t>
      </w:r>
    </w:p>
    <w:p w:rsidR="00137E78" w:rsidRDefault="00137E78" w:rsidP="00137E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молодіжної злочинності.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молодіжної злочинності 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молодіжної злочинності.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молодіжної злочинності.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Кримінологічна характеристика молодіжної злочинності.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Попередження молодіжної злочинності.</w:t>
      </w:r>
    </w:p>
    <w:p w:rsidR="00137E78" w:rsidRPr="00137E78" w:rsidRDefault="00137E78" w:rsidP="00137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Розслідування злочинів, що вчиняються молоддю.</w:t>
      </w:r>
    </w:p>
    <w:p w:rsidR="00137E78" w:rsidRPr="00137E78" w:rsidRDefault="00137E78" w:rsidP="00137E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37E78" w:rsidRPr="00137E78" w:rsidSect="006C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D1C"/>
    <w:multiLevelType w:val="hybridMultilevel"/>
    <w:tmpl w:val="5D2A682A"/>
    <w:lvl w:ilvl="0" w:tplc="69EC0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37E78"/>
    <w:rsid w:val="00137E78"/>
    <w:rsid w:val="006C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2021-09-30T07:45:00Z</dcterms:created>
  <dcterms:modified xsi:type="dcterms:W3CDTF">2021-09-30T07:50:00Z</dcterms:modified>
</cp:coreProperties>
</file>