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11" w:rsidRPr="00D54CB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val="en-US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ДІЛОВА ІНОЗЕМНА МОВА (</w:t>
      </w:r>
      <w:r w:rsidR="00C0671F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Французька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)</w:t>
      </w: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683486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Викладач: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>К.філол.н</w:t>
      </w:r>
      <w:proofErr w:type="spellEnd"/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доцент </w:t>
      </w:r>
      <w:proofErr w:type="spellStart"/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>Шаргай</w:t>
      </w:r>
      <w:proofErr w:type="spellEnd"/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І.Є.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Кафедра: </w:t>
      </w:r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>романської філології і перекладу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, 2-</w:t>
      </w:r>
      <w:r w:rsidRPr="009947BF">
        <w:rPr>
          <w:rFonts w:ascii="Times New Roman" w:eastAsia="MS Mincho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корп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ЗНУ,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ауд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</w:t>
      </w:r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>304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</w:t>
      </w:r>
      <w:r w:rsidR="00C0671F">
        <w:rPr>
          <w:rFonts w:ascii="Times New Roman" w:eastAsia="MS Mincho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-</w:t>
      </w:r>
      <w:r w:rsidRPr="009947BF">
        <w:rPr>
          <w:rFonts w:ascii="Times New Roman" w:eastAsia="MS Mincho" w:hAnsi="Times New Roman" w:cs="Times New Roman"/>
          <w:sz w:val="24"/>
          <w:szCs w:val="24"/>
          <w:lang w:val="uk-UA"/>
        </w:rPr>
        <w:t>й</w:t>
      </w:r>
      <w:r w:rsidRPr="008A1752">
        <w:rPr>
          <w:rFonts w:ascii="Times New Roman" w:eastAsia="MS Mincho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8A1752">
        <w:rPr>
          <w:rFonts w:ascii="Times New Roman" w:eastAsia="MS Mincho" w:hAnsi="Times New Roman" w:cs="Times New Roman"/>
          <w:sz w:val="24"/>
          <w:szCs w:val="24"/>
          <w:lang w:val="uk-UA"/>
        </w:rPr>
        <w:t>поверх)</w:t>
      </w:r>
    </w:p>
    <w:p w:rsidR="00FA4D11" w:rsidRPr="001F1EA4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E</w:t>
      </w:r>
      <w:r w:rsidRPr="00240B21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-</w:t>
      </w:r>
      <w:proofErr w:type="spellStart"/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mail</w:t>
      </w:r>
      <w:proofErr w:type="spellEnd"/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: </w:t>
      </w:r>
      <w:proofErr w:type="spellStart"/>
      <w:r w:rsidR="00C0671F">
        <w:rPr>
          <w:rFonts w:ascii="Times New Roman" w:eastAsia="MS Mincho" w:hAnsi="Times New Roman" w:cs="Times New Roman"/>
          <w:sz w:val="24"/>
          <w:szCs w:val="24"/>
          <w:lang w:val="en-US"/>
        </w:rPr>
        <w:t>simonenkoirin</w:t>
      </w:r>
      <w:proofErr w:type="spellEnd"/>
      <w:r w:rsidR="00C0671F" w:rsidRPr="001F1EA4">
        <w:rPr>
          <w:rFonts w:ascii="Times New Roman" w:eastAsia="MS Mincho" w:hAnsi="Times New Roman" w:cs="Times New Roman"/>
          <w:sz w:val="24"/>
          <w:szCs w:val="24"/>
        </w:rPr>
        <w:t>@</w:t>
      </w:r>
      <w:proofErr w:type="spellStart"/>
      <w:r w:rsidR="00C0671F">
        <w:rPr>
          <w:rFonts w:ascii="Times New Roman" w:eastAsia="MS Mincho" w:hAnsi="Times New Roman" w:cs="Times New Roman"/>
          <w:sz w:val="24"/>
          <w:szCs w:val="24"/>
          <w:lang w:val="en-US"/>
        </w:rPr>
        <w:t>gmail</w:t>
      </w:r>
      <w:proofErr w:type="spellEnd"/>
      <w:r w:rsidR="00C0671F" w:rsidRPr="001F1EA4">
        <w:rPr>
          <w:rFonts w:ascii="Times New Roman" w:eastAsia="MS Mincho" w:hAnsi="Times New Roman" w:cs="Times New Roman"/>
          <w:sz w:val="24"/>
          <w:szCs w:val="24"/>
        </w:rPr>
        <w:t>.</w:t>
      </w:r>
      <w:r w:rsidR="00C0671F">
        <w:rPr>
          <w:rFonts w:ascii="Times New Roman" w:eastAsia="MS Mincho" w:hAnsi="Times New Roman" w:cs="Times New Roman"/>
          <w:sz w:val="24"/>
          <w:szCs w:val="24"/>
          <w:lang w:val="en-US"/>
        </w:rPr>
        <w:t>com</w:t>
      </w:r>
    </w:p>
    <w:p w:rsidR="00C0671F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Телефон: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(061) 289-12-</w:t>
      </w:r>
      <w:r w:rsidR="00C0671F">
        <w:rPr>
          <w:rFonts w:ascii="Times New Roman" w:eastAsia="MS Mincho" w:hAnsi="Times New Roman" w:cs="Times New Roman"/>
          <w:sz w:val="24"/>
          <w:szCs w:val="24"/>
        </w:rPr>
        <w:t>59</w:t>
      </w:r>
      <w:r w:rsidRPr="008A1752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(кафедра</w:t>
      </w:r>
      <w:r w:rsidR="00C0671F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)</w:t>
      </w:r>
    </w:p>
    <w:p w:rsidR="00FA4D11" w:rsidRPr="00C0671F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D17B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Telegram</w:t>
      </w:r>
      <w:r w:rsidRPr="00AC1FFC">
        <w:rPr>
          <w:rFonts w:ascii="Times New Roman" w:eastAsia="MS Mincho" w:hAnsi="Times New Roman" w:cs="Times New Roman"/>
          <w:b/>
          <w:sz w:val="24"/>
          <w:szCs w:val="24"/>
        </w:rPr>
        <w:t>/</w:t>
      </w:r>
      <w:r w:rsidRPr="00CD17B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Viber</w:t>
      </w:r>
      <w:r w:rsidRPr="00AC1FFC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 w:rsidR="00C0671F">
        <w:rPr>
          <w:rFonts w:ascii="Times New Roman" w:eastAsia="MS Mincho" w:hAnsi="Times New Roman" w:cs="Times New Roman"/>
          <w:sz w:val="24"/>
          <w:szCs w:val="24"/>
          <w:lang w:val="en-US"/>
        </w:rPr>
        <w:t>0672941226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679"/>
        <w:gridCol w:w="596"/>
        <w:gridCol w:w="1276"/>
        <w:gridCol w:w="963"/>
        <w:gridCol w:w="1418"/>
        <w:gridCol w:w="1417"/>
        <w:gridCol w:w="1134"/>
      </w:tblGrid>
      <w:tr w:rsidR="00FA4D11" w:rsidRPr="00683486" w:rsidTr="00FA4D1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Освітня програма, рівень вищої освіти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C0671F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26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Мова і література (</w:t>
            </w:r>
            <w:r w:rsidR="00C0671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французька</w:t>
            </w:r>
            <w:r w:rsidR="00CE1DF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2B326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;</w:t>
            </w: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A4D11" w:rsidRPr="008A1752" w:rsidTr="00FA4D1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 вибором</w:t>
            </w:r>
          </w:p>
        </w:tc>
      </w:tr>
      <w:tr w:rsidR="00FA4D11" w:rsidRPr="008A1752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2021-2022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1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0901AB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FA4D11" w:rsidRPr="00F1529F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змістових модулів</w:t>
            </w:r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0931DF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Лекційні заняття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год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4CB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0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 –</w:t>
            </w:r>
            <w:r w:rsidRPr="00A176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 год</w:t>
            </w:r>
          </w:p>
        </w:tc>
      </w:tr>
      <w:tr w:rsidR="00FA4D11" w:rsidRPr="008A1752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4D11" w:rsidRPr="001F1EA4" w:rsidTr="00FA4D11">
        <w:trPr>
          <w:trHeight w:val="250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Посилання на курс в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933AA7" w:rsidRDefault="00C0671F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7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moodle.znu.edu.ua/</w:t>
            </w:r>
            <w:proofErr w:type="spellStart"/>
            <w:r w:rsidRPr="00C067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enrol</w:t>
            </w:r>
            <w:proofErr w:type="spellEnd"/>
            <w:r w:rsidRPr="00C067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67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index.php?id</w:t>
            </w:r>
            <w:proofErr w:type="spellEnd"/>
            <w:r w:rsidRPr="00C067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=2374</w:t>
            </w:r>
          </w:p>
        </w:tc>
      </w:tr>
      <w:tr w:rsidR="00FA4D11" w:rsidRPr="00DA0E37" w:rsidTr="00FA4D11">
        <w:trPr>
          <w:trHeight w:val="250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Консультації: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5B5E7C" w:rsidRDefault="00FA4D11" w:rsidP="00FA4D1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 домовленістю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або</w:t>
            </w:r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 поштою</w:t>
            </w:r>
          </w:p>
          <w:p w:rsidR="00FA4D11" w:rsidRPr="005B5E7C" w:rsidRDefault="00FA4D11" w:rsidP="00FA4D1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дистанційно – </w:t>
            </w: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Zoom</w:t>
            </w: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за попередньою домовленістю</w:t>
            </w:r>
          </w:p>
        </w:tc>
      </w:tr>
    </w:tbl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8"/>
          <w:szCs w:val="24"/>
          <w:lang w:val="uk-UA"/>
        </w:rPr>
        <w:t xml:space="preserve">ОПИС КУРСУ </w:t>
      </w:r>
    </w:p>
    <w:p w:rsidR="00FA4D11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:rsidR="001F1EA4" w:rsidRDefault="00FA4D11" w:rsidP="001F1EA4">
      <w:pPr>
        <w:spacing w:after="0" w:line="240" w:lineRule="auto"/>
        <w:ind w:firstLine="360"/>
        <w:jc w:val="both"/>
        <w:rPr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Метою</w:t>
      </w:r>
      <w:r w:rsidRPr="00BC1EAB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курсу</w:t>
      </w:r>
      <w:r w:rsidRPr="00BC1E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є </w:t>
      </w:r>
      <w:r w:rsidR="001F1EA4">
        <w:rPr>
          <w:sz w:val="28"/>
          <w:szCs w:val="28"/>
          <w:lang w:val="uk-UA"/>
        </w:rPr>
        <w:t>розширення</w:t>
      </w:r>
      <w:r w:rsidR="001F1EA4" w:rsidRPr="00400E9C">
        <w:rPr>
          <w:sz w:val="28"/>
          <w:szCs w:val="28"/>
          <w:lang w:val="uk-UA"/>
        </w:rPr>
        <w:t xml:space="preserve"> знань студентів про</w:t>
      </w:r>
      <w:r w:rsidR="001F1EA4">
        <w:rPr>
          <w:sz w:val="28"/>
          <w:szCs w:val="28"/>
          <w:lang w:val="uk-UA"/>
        </w:rPr>
        <w:t xml:space="preserve"> специфіку французької мови, яка вживається в діловій кореспонденції, телефонних розмовах, телеграмах, переговорах, укладанні угод та контрактів і </w:t>
      </w:r>
      <w:proofErr w:type="spellStart"/>
      <w:r w:rsidR="001F1EA4">
        <w:rPr>
          <w:sz w:val="28"/>
          <w:szCs w:val="28"/>
          <w:lang w:val="uk-UA"/>
        </w:rPr>
        <w:t>т.ін</w:t>
      </w:r>
      <w:proofErr w:type="spellEnd"/>
      <w:r w:rsidR="001F1EA4">
        <w:rPr>
          <w:sz w:val="28"/>
          <w:szCs w:val="28"/>
          <w:lang w:val="uk-UA"/>
        </w:rPr>
        <w:t xml:space="preserve">.  Крім того ціллю є ознайомлення студентів з основними трансляційними моделями та комерційною термінологією в сфері міжнародного бізнесу і зв’язках з міжнародними торговими агенціями, заключенням договорів та розміщенням заказів на поставку товарів, складанням ділових паперів та іншої комерційної документації, урегулюванням рекламацій, що виникають у зв’язку з невиконанням або неналежним виконанням замовлених угод.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Це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передбачає наявність знань загальної ділової лексики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за фахом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правил мовного оформлення особистої ділової кореспонденції; вмінь </w:t>
      </w:r>
      <w:r w:rsidR="001F1EA4">
        <w:rPr>
          <w:rFonts w:ascii="Times New Roman" w:eastAsia="MS Mincho" w:hAnsi="Times New Roman" w:cs="Times New Roman"/>
          <w:sz w:val="24"/>
          <w:szCs w:val="24"/>
          <w:lang w:val="uk-UA"/>
        </w:rPr>
        <w:t>складати текст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ділов</w:t>
      </w:r>
      <w:r w:rsidR="001F1EA4">
        <w:rPr>
          <w:rFonts w:ascii="Times New Roman" w:eastAsia="MS Mincho" w:hAnsi="Times New Roman" w:cs="Times New Roman"/>
          <w:sz w:val="24"/>
          <w:szCs w:val="24"/>
          <w:lang w:val="uk-UA"/>
        </w:rPr>
        <w:t>ої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кореспонде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н</w:t>
      </w:r>
      <w:r w:rsidR="001F1EA4">
        <w:rPr>
          <w:rFonts w:ascii="Times New Roman" w:eastAsia="MS Mincho" w:hAnsi="Times New Roman" w:cs="Times New Roman"/>
          <w:sz w:val="24"/>
          <w:szCs w:val="24"/>
          <w:lang w:val="uk-UA"/>
        </w:rPr>
        <w:t>ції французькою мовою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>, підтримувати бесіду відповідно до тематики професійного ситуативного спілкування (співбесіда з майбутнім роботодавцем, організація роботи компанії, телефонні розмови з питань бізнесу, прийом відвідувачів фірми, бронювання готелів, квитків, проведення ділових зустрічей, переговорів, спілкування з іноземними  партнерами тощо).</w:t>
      </w:r>
    </w:p>
    <w:p w:rsidR="00FA4D11" w:rsidRPr="001F1EA4" w:rsidRDefault="00FA4D11" w:rsidP="001F1EA4">
      <w:pPr>
        <w:spacing w:after="0" w:line="240" w:lineRule="auto"/>
        <w:ind w:firstLine="360"/>
        <w:jc w:val="both"/>
        <w:rPr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Студенти мають можливість підвищити рівень ділової та особистісної культури.</w:t>
      </w:r>
    </w:p>
    <w:p w:rsidR="00FA4D11" w:rsidRDefault="00FA4D11" w:rsidP="001F1E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Дисципліна розрахована на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один семестр</w:t>
      </w: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Pr="00B36D0E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E7BB7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Осінній семестр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2021 </w:t>
      </w:r>
      <w:r w:rsidRPr="005E7BB7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р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</w:t>
      </w: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>присвяч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ується вдосконаленню навичок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ділового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мовлення, читанню автентичних літературних текстів; актуалізації та вивченню нового лексико-граматичного матеріалу</w:t>
      </w:r>
      <w:r w:rsidRPr="005E6B8D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8"/>
          <w:szCs w:val="24"/>
          <w:lang w:val="uk-UA"/>
        </w:rPr>
        <w:t>ОЧІКУВАНІ РЕЗУЛЬТАТИ НАВЧАННЯ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У разі успішного завершення курсу студент </w:t>
      </w:r>
      <w:r w:rsidRPr="008A1752"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  <w:t>зможе</w:t>
      </w: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:</w:t>
      </w:r>
    </w:p>
    <w:p w:rsidR="00FA4D11" w:rsidRPr="00477770" w:rsidRDefault="001F1EA4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1. 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Р</w:t>
      </w:r>
      <w:r w:rsidR="00FA4D11"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озуміти 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писемне</w:t>
      </w:r>
      <w:r w:rsidR="00FA4D11"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мовлення та реагувати на нього за умови здійснення 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переписки</w:t>
      </w:r>
      <w:r w:rsidR="00FA4D11"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стандартною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французькою</w:t>
      </w:r>
      <w:r w:rsidR="00FA4D11"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ою</w:t>
      </w:r>
      <w:r w:rsidR="00FA4D11" w:rsidRPr="00477770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2.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Складати комерційні та ділові листи;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3.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Вживати термінологію ділових паперів;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4.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Розрізняти стандартні та нестандартні, типові та фірмові документи;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5.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Вести ділові переговори;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6.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Відповіда</w:t>
      </w:r>
      <w:r w:rsidR="001F1EA4"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ти на телефонні дзвінки;</w:t>
      </w:r>
    </w:p>
    <w:p w:rsidR="001F1EA4" w:rsidRPr="001F1EA4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7. </w:t>
      </w:r>
      <w:r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Складати </w:t>
      </w:r>
      <w:r w:rsidR="001F1EA4" w:rsidRPr="001F1EA4">
        <w:rPr>
          <w:rFonts w:ascii="Times New Roman" w:eastAsia="MS Mincho" w:hAnsi="Times New Roman" w:cs="Times New Roman"/>
          <w:sz w:val="24"/>
          <w:szCs w:val="24"/>
          <w:lang w:val="uk-UA"/>
        </w:rPr>
        <w:t>ділові папери (вміти поділяти текст на абзаци, параграфи, пункти в тексті).</w:t>
      </w:r>
    </w:p>
    <w:p w:rsidR="00FA4D11" w:rsidRPr="00AA79F8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8. </w:t>
      </w:r>
      <w:r w:rsidR="00FA4D11"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Уміти 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орфографічно</w:t>
      </w:r>
      <w:r w:rsidR="00FA4D11"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правильно оформлювати власне іншомовне мовлення.</w:t>
      </w:r>
    </w:p>
    <w:p w:rsidR="00FA4D11" w:rsidRPr="00AA79F8" w:rsidRDefault="00587658" w:rsidP="001F1EA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9. </w:t>
      </w:r>
      <w:r w:rsidR="00FA4D11"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>Володіти навичками письмового та усного перекладу різножанрових текстів, робити аналітичне опрацювання та переклад іншомовних джерел з метою отримання інформації, що необхідна для професійної та наукової діяльності.</w:t>
      </w:r>
    </w:p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kern w:val="36"/>
          <w:sz w:val="28"/>
          <w:szCs w:val="24"/>
          <w:lang w:val="uk-UA"/>
        </w:rPr>
        <w:t>ОСНОВНІ НАВЧАЛЬНІ РЕСУРСИ</w:t>
      </w:r>
    </w:p>
    <w:p w:rsidR="00351FDA" w:rsidRPr="00351FDA" w:rsidRDefault="005D4BA0" w:rsidP="00351FD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Penfornis, Jean-Luc - Affaires.com </w:t>
      </w:r>
      <w:proofErr w:type="spellStart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Fran</w:t>
      </w:r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>cais</w:t>
      </w:r>
      <w:proofErr w:type="spellEnd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>professionnel</w:t>
      </w:r>
      <w:proofErr w:type="spellEnd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>niveau</w:t>
      </w:r>
      <w:proofErr w:type="spellEnd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1FDA">
        <w:rPr>
          <w:rFonts w:ascii="Times New Roman" w:eastAsia="MS Mincho" w:hAnsi="Times New Roman" w:cs="Times New Roman"/>
          <w:sz w:val="24"/>
          <w:szCs w:val="24"/>
          <w:lang w:val="uk-UA"/>
        </w:rPr>
        <w:t>avanc</w:t>
      </w:r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r w:rsidR="00587658"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Деловая</w:t>
      </w:r>
      <w:proofErr w:type="spellEnd"/>
      <w:r w:rsidR="00587658"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87658"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корреспонденция</w:t>
      </w:r>
      <w:proofErr w:type="spellEnd"/>
      <w:r w:rsidR="00351FDA"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351FDA" w:rsidRPr="00351FDA" w:rsidRDefault="00351FDA" w:rsidP="00351FDA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hyperlink r:id="rId7" w:history="1">
        <w:r w:rsidRPr="00351FDA">
          <w:rPr>
            <w:rStyle w:val="aa"/>
            <w:rFonts w:ascii="Times New Roman" w:eastAsia="MS Mincho" w:hAnsi="Times New Roman" w:cs="Times New Roman"/>
            <w:sz w:val="24"/>
            <w:szCs w:val="24"/>
            <w:lang w:val="uk-UA"/>
          </w:rPr>
          <w:t>https://apprendre.tv5monde.com/fr/exercices/b2-avance/merci-handy-une-start-succes</w:t>
        </w:r>
      </w:hyperlink>
    </w:p>
    <w:p w:rsidR="00351FDA" w:rsidRDefault="00351FDA" w:rsidP="00351FD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B61BA8" w:rsidRPr="00B61BA8" w:rsidRDefault="00FA4D11" w:rsidP="00B61B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Також до курсу рекомендуються </w:t>
      </w:r>
      <w:r w:rsid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додаткові джерела, </w:t>
      </w:r>
      <w:proofErr w:type="spellStart"/>
      <w:r w:rsidR="00B61BA8">
        <w:rPr>
          <w:rFonts w:ascii="Times New Roman" w:eastAsia="MS Mincho" w:hAnsi="Times New Roman" w:cs="Times New Roman"/>
          <w:sz w:val="24"/>
          <w:szCs w:val="24"/>
          <w:lang w:val="uk-UA"/>
        </w:rPr>
        <w:t>зазначены</w:t>
      </w:r>
      <w:proofErr w:type="spellEnd"/>
      <w:r w:rsid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B61BA8">
        <w:rPr>
          <w:rFonts w:ascii="Times New Roman" w:eastAsia="MS Mincho" w:hAnsi="Times New Roman" w:cs="Times New Roman"/>
          <w:sz w:val="24"/>
          <w:szCs w:val="24"/>
          <w:lang w:val="uk-UA"/>
        </w:rPr>
        <w:t>платформы</w:t>
      </w:r>
      <w:proofErr w:type="spellEnd"/>
      <w:r w:rsid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B61BA8">
        <w:rPr>
          <w:rFonts w:ascii="Times New Roman" w:eastAsia="MS Mincho" w:hAnsi="Times New Roman" w:cs="Times New Roman"/>
          <w:sz w:val="24"/>
          <w:szCs w:val="24"/>
          <w:lang w:val="en-US"/>
        </w:rPr>
        <w:t>Moodle</w:t>
      </w:r>
    </w:p>
    <w:p w:rsidR="00B61BA8" w:rsidRDefault="00B61BA8" w:rsidP="00B61B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A4D11" w:rsidRPr="008D28DC" w:rsidRDefault="00FA4D11" w:rsidP="00B61B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8D28D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КОНТРОЛЬНІ ЗАХОДИ</w:t>
      </w:r>
    </w:p>
    <w:p w:rsidR="00FA4D11" w:rsidRPr="008D28DC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Поточні контрольні заходи (</w:t>
      </w:r>
      <w:proofErr w:type="spellStart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max</w:t>
      </w:r>
      <w:proofErr w:type="spellEnd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60 балів)</w:t>
      </w:r>
      <w:r w:rsidRPr="008D28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:</w:t>
      </w:r>
    </w:p>
    <w:p w:rsidR="00FA4D11" w:rsidRPr="0037421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</w:pP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теоретичні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FA4D11" w:rsidRPr="006120F3" w:rsidRDefault="00FA4D11" w:rsidP="00FA4D11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письмовий лексичний диктант;</w:t>
      </w:r>
    </w:p>
    <w:p w:rsidR="00FA4D11" w:rsidRPr="006120F3" w:rsidRDefault="00FA4D11" w:rsidP="00FA4D11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короткий лексико-граматичний тест.</w:t>
      </w: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практичні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FA4D11" w:rsidRPr="002F3315" w:rsidRDefault="00FA4D11" w:rsidP="00FA4D11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групова робота з обговорення теми модулю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;</w:t>
      </w:r>
    </w:p>
    <w:p w:rsidR="00FA4D11" w:rsidRDefault="00FA4D11" w:rsidP="00FA4D1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презентація власних проєктів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</w:p>
    <w:p w:rsidR="00FA4D11" w:rsidRPr="00E727B0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Письмова контрольна робота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20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40 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балів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два рази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 семестр, 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наприкінці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2-го та 4-го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змістов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их модулів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 Контрольна робота включає теоретичн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та практичні завдання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за тематикою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базов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ого 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ідручника.</w:t>
      </w: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</w:p>
    <w:p w:rsidR="00FA4D11" w:rsidRPr="00BA587A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FA4D11" w:rsidRPr="0055628E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Підсумкові</w:t>
      </w:r>
      <w:r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контрольні заходи (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en-US"/>
        </w:rPr>
        <w:t>max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40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балів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):</w:t>
      </w: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FA4D11" w:rsidRPr="0014512A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Письмова відповідь на заліку 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(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max</w:t>
      </w:r>
      <w:r w:rsidRPr="00E727B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6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балів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полягає у проходженні лексико-граматичного тесту згідно із програмою і тематикою базового підручника. У випадку переходу на дистанційну форму навчання тест розміщено на платформі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Moodle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Усна відповідь на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заліку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14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полягає у розгорнутому та вичерпному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виконанні наступних завдань:</w:t>
      </w:r>
      <w:r w:rsidR="00A000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 бесіда за тематикою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 та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A000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написання ділового листа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</w:t>
      </w:r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).</w:t>
      </w:r>
    </w:p>
    <w:p w:rsidR="00FA4D11" w:rsidRPr="00F35A15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Викладач ознайомлює студентів із переліком тем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щонайменше за два тижні до іспиту.</w:t>
      </w:r>
    </w:p>
    <w:p w:rsidR="00FA4D11" w:rsidRPr="00F35A15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highlight w:val="yellow"/>
        </w:rPr>
      </w:pPr>
    </w:p>
    <w:p w:rsidR="00906D8E" w:rsidRDefault="00906D8E" w:rsidP="00906D8E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</w:pP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Індивідуальне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дослідницьке завдання (ІД</w:t>
      </w: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З) </w:t>
      </w:r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(</w:t>
      </w:r>
      <w:proofErr w:type="spellStart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max</w:t>
      </w:r>
      <w:proofErr w:type="spellEnd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20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</w:t>
      </w:r>
      <w:r w:rsidRPr="00526C55">
        <w:rPr>
          <w:rFonts w:ascii="Times New Roman" w:eastAsia="MS Mincho" w:hAnsi="Times New Roman" w:cs="Times New Roman"/>
          <w:sz w:val="24"/>
          <w:szCs w:val="24"/>
          <w:lang w:val="uk-UA"/>
        </w:rPr>
        <w:t>полягає у наступному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:</w:t>
      </w:r>
    </w:p>
    <w:p w:rsidR="00906D8E" w:rsidRPr="00D51DBA" w:rsidRDefault="00906D8E" w:rsidP="00906D8E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обрання трьох оригінальних </w:t>
      </w:r>
      <w:r w:rsidR="00A00015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франкомовних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документів та їх переклад українською мовою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обирає три довільні автентичні документи обсягом до 1 сторінки кожен. Також студент має підготувати їх переклад українською мовою;</w:t>
      </w:r>
    </w:p>
    <w:p w:rsidR="00906D8E" w:rsidRPr="00D51DBA" w:rsidRDefault="00906D8E" w:rsidP="00906D8E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lastRenderedPageBreak/>
        <w:t xml:space="preserve">лексикологічна робота з документами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оформлює глосарій із 20-25 незнайомих слів, складає перелік фраз українською мовою, які є перекладом відповідних фраз із оригінального листа та складає 10 речень зі словами із глосарію.</w:t>
      </w:r>
    </w:p>
    <w:p w:rsidR="00FA4D11" w:rsidRPr="00933AA7" w:rsidRDefault="00906D8E" w:rsidP="00906D8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Документи для ІДЗ обираються щонайменше за два тижні до тижня самостійної роботи</w:t>
      </w:r>
      <w:r w:rsidRPr="00BD26D6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за попередньої згоди викладача.</w:t>
      </w:r>
    </w:p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A4D11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FA4D11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FA4D11" w:rsidRPr="008A1752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FA4D11" w:rsidRPr="008A1752" w:rsidTr="00FA4D1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FA4D11" w:rsidRPr="008A1752" w:rsidTr="00FA4D1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2"/>
        <w:gridCol w:w="5521"/>
        <w:gridCol w:w="1837"/>
        <w:gridCol w:w="1562"/>
      </w:tblGrid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  <w:vAlign w:val="center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від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загальної</w:t>
            </w:r>
            <w:proofErr w:type="spellEnd"/>
          </w:p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оцінки</w:t>
            </w:r>
            <w:proofErr w:type="spellEnd"/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60%)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2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55628E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3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4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trHeight w:val="229"/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5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FA4D11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6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7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trHeight w:val="370"/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8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trHeight w:val="425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9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55628E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10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FA4D11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11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1451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max 40%)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197118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16"/>
          <w:szCs w:val="16"/>
          <w:lang w:val="uk-UA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  <w:t>РОЗКЛАД КУРСУ ЗА ТЕМАМИ І КОНТРОЛЬНІ ЗАВДАННЯ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0"/>
        <w:gridCol w:w="1824"/>
        <w:gridCol w:w="5245"/>
        <w:gridCol w:w="1383"/>
      </w:tblGrid>
      <w:tr w:rsidR="00FA4D11" w:rsidRPr="008A1752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AC1FFC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змістового модулю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D380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_tradnl"/>
              </w:rPr>
            </w:pPr>
            <w:r w:rsidRPr="007D3802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_tradnl"/>
              </w:rPr>
              <w:t>Кількістьбалів</w:t>
            </w: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ЗМІСТОВИЙ МОДУЛЬ 1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933AA7" w:rsidTr="00FA4D11">
        <w:trPr>
          <w:trHeight w:val="19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1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заняття 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A00015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Unité 1</w:t>
            </w:r>
          </w:p>
          <w:p w:rsidR="00A00015" w:rsidRPr="00030A79" w:rsidRDefault="00A00015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Types d’entreprises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Pr="005C30F4" w:rsidRDefault="00FA4D11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7646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Ознайомлення студентів зі змістом курсу.</w:t>
            </w:r>
          </w:p>
          <w:p w:rsidR="00AF197D" w:rsidRPr="00AF197D" w:rsidRDefault="00AF197D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Організація та види підприємств.</w:t>
            </w:r>
          </w:p>
          <w:p w:rsidR="00933AA7" w:rsidRPr="00933AA7" w:rsidRDefault="00A00015" w:rsidP="00A0001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1F1EA4" w:rsidTr="00FA4D11">
        <w:trPr>
          <w:trHeight w:val="77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A45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A0001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A00015" w:rsidRPr="00A00015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E4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933AA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</w:p>
          <w:p w:rsidR="00FA4D11" w:rsidRDefault="00933AA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Переклад активної лексики</w:t>
            </w:r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 розділу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на рідну мову.</w:t>
            </w:r>
          </w:p>
          <w:p w:rsidR="00F34D37" w:rsidRPr="00933AA7" w:rsidRDefault="00F34D37" w:rsidP="00F34D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A00015" w:rsidTr="00FA4D11">
        <w:trPr>
          <w:trHeight w:val="109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B6D9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6D9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2</w:t>
            </w:r>
          </w:p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A4D11" w:rsidRPr="00AC1FFC" w:rsidRDefault="00FA4D11" w:rsidP="00FA4D11">
            <w:pPr>
              <w:tabs>
                <w:tab w:val="center" w:pos="877"/>
                <w:tab w:val="right" w:pos="175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  <w:t>заняття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Лексичний диктант за заняттям 1.</w:t>
            </w:r>
          </w:p>
          <w:p w:rsidR="00FA4D11" w:rsidRPr="00A00015" w:rsidRDefault="00A0001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Граматичний матеріал</w:t>
            </w:r>
          </w:p>
          <w:p w:rsidR="00A67A45" w:rsidRPr="00A67A45" w:rsidRDefault="00A67A45" w:rsidP="00A0001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Виконання вправ за розділом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001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207C0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1A5522" w:rsidTr="00FA4D11">
        <w:trPr>
          <w:trHeight w:val="76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CF19D3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A0001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A00015" w:rsidRPr="00A00015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A0001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A67A45" w:rsidRPr="00A67A45" w:rsidRDefault="00A67A4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</w:p>
          <w:p w:rsidR="00FA4D11" w:rsidRPr="006B74F6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Обрання листів для ІДЗ.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176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447C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47C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3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42BCB" w:rsidRDefault="00942BCB" w:rsidP="00942BCB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Корисні фрази для виступу з презентацією.</w:t>
            </w:r>
          </w:p>
          <w:p w:rsidR="00FA4D11" w:rsidRDefault="00FA4D11" w:rsidP="00942BCB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Групове обговорення стосовно </w:t>
            </w:r>
            <w:r w:rsidR="00942BC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стратегії підприємства.</w:t>
            </w:r>
          </w:p>
          <w:p w:rsidR="00942BCB" w:rsidRPr="004807E4" w:rsidRDefault="00942BCB" w:rsidP="00A0001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Pr="00207C0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A00015" w:rsidTr="00FA4D11">
        <w:trPr>
          <w:trHeight w:val="380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CB" w:rsidRPr="00942BCB" w:rsidRDefault="00942BCB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A0001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A0001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Lexique</w:t>
            </w:r>
            <w:proofErr w:type="spellEnd"/>
            <w:r w:rsidRPr="00A0001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34D37" w:rsidRPr="00F34D37" w:rsidRDefault="00F34D37" w:rsidP="00A0001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</w:t>
            </w:r>
            <w:r w:rsidR="00A0001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знайомлення із джерелом за посиланням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A00015" w:rsidRPr="00A0001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https://www.lefrancaisdesaffaires.fr/numerifos/affaires/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38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B6D9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6D9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A4D11" w:rsidRPr="00AC1FFC" w:rsidRDefault="00FA4D11" w:rsidP="00FA4D11">
            <w:pPr>
              <w:tabs>
                <w:tab w:val="center" w:pos="877"/>
                <w:tab w:val="right" w:pos="175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  <w:t>заняття 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A00015" w:rsidP="00A000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Uni</w:t>
            </w:r>
            <w:r w:rsidR="00F749B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fr-FR"/>
              </w:rPr>
              <w:t>té 2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 xml:space="preserve"> </w:t>
            </w:r>
          </w:p>
          <w:p w:rsidR="00A00015" w:rsidRPr="00A00015" w:rsidRDefault="00F749B3" w:rsidP="00F749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fr-FR"/>
              </w:rPr>
              <w:t>Créateur d’entreprise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DD307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749B3" w:rsidRDefault="00AF197D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</w:p>
          <w:p w:rsidR="00D852C9" w:rsidRPr="002E4FDA" w:rsidRDefault="00D852C9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раматичний матеріал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1F1EA4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CF19D3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2.</w:t>
            </w:r>
          </w:p>
          <w:p w:rsidR="00F749B3" w:rsidRDefault="00162759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</w:p>
          <w:p w:rsidR="00A67A45" w:rsidRPr="002E4FDA" w:rsidRDefault="00A67A45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447C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47C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3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="00D852C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переваг свого підприємства. </w:t>
            </w:r>
          </w:p>
          <w:p w:rsidR="00D852C9" w:rsidRPr="00B533A9" w:rsidRDefault="00D852C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Дії керівництва за необхідності скорочення персоналу.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Pr="001F1EA4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34D37" w:rsidRPr="001F1EA4" w:rsidRDefault="00F34D3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Lexique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Pr="002E4FDA" w:rsidRDefault="00A67A4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Переклад листів для ІДЗ.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FF4273" w:rsidRDefault="00FA4D11" w:rsidP="00F749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F427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ПИСЬМОВА КОНТРОЛЬНА РОБОТА 1</w:t>
            </w:r>
            <w:r w:rsid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(20 балів)</w:t>
            </w:r>
          </w:p>
        </w:tc>
      </w:tr>
      <w:tr w:rsidR="00FA4D11" w:rsidRPr="008A1752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17B4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17B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 заняття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A10AE" w:rsidRDefault="00FA4D11" w:rsidP="00F749B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Письмова контрольна робота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-2.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596CA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FA4D11" w:rsidRPr="000C21D6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Лекційне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749B3" w:rsidP="00F749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Unité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3</w:t>
            </w:r>
          </w:p>
          <w:p w:rsidR="00F749B3" w:rsidRPr="00AF197D" w:rsidRDefault="00F749B3" w:rsidP="00F749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Ressourses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humaines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B3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</w:p>
          <w:p w:rsidR="005C30F4" w:rsidRDefault="005C30F4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Групове обговорення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теми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« Organisation des la réunion de travail 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  <w:p w:rsidR="005C30F4" w:rsidRPr="00F34D37" w:rsidRDefault="005C30F4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Граматика (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Subjonctif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1F1EA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é </w:t>
            </w:r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162759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</w:p>
          <w:p w:rsidR="00FA4D11" w:rsidRPr="007A7A3B" w:rsidRDefault="00942BCB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794E60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1F1EA4" w:rsidRDefault="00FA4D11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Лексичний диктант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é </w:t>
            </w:r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34D37" w:rsidRPr="00F34D37" w:rsidRDefault="005C30F4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Слова, що використовуються для порівняння, переконання, виділення або перефразування.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4807E4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 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D852C9" w:rsidRDefault="00D852C9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Lexique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Pr="002B2BD6" w:rsidRDefault="00A67A45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Опрацювання лексичного матеріалу для ІДЗ.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0901AB" w:rsidTr="00FA4D11">
        <w:trPr>
          <w:trHeight w:val="272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Лекційне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03A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</w:t>
            </w:r>
            <w:r w:rsidR="00F749B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nité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  <w:p w:rsidR="00FA4D11" w:rsidRPr="00AF197D" w:rsidRDefault="00F749B3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Marketing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інноваційного продукту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34D37" w:rsidRPr="00D852C9" w:rsidRDefault="00162759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Граматика (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Les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 xml:space="preserve"> différents façon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s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 xml:space="preserve"> de demander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1F1EA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162759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</w:p>
          <w:p w:rsidR="00FA4D11" w:rsidRPr="00942BCB" w:rsidRDefault="00942BCB" w:rsidP="00F749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-4.</w:t>
            </w:r>
          </w:p>
          <w:p w:rsidR="00FA4D11" w:rsidRPr="002E4FDA" w:rsidRDefault="00F34D3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перемовинах між підприємствами.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1F1EA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Unit</w:t>
            </w:r>
            <w:r w:rsidR="00F749B3" w:rsidRPr="00F749B3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D852C9" w:rsidRPr="005C30F4" w:rsidRDefault="00D852C9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F749B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Lexique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34D37" w:rsidRPr="005D65F7" w:rsidRDefault="00F34D37" w:rsidP="00B61BA8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Ознайомлення із джерелом </w:t>
            </w:r>
            <w:r w:rsidR="00B61BA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посилання</w:t>
            </w:r>
            <w:r w:rsidR="00B61BA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B61BA8" w:rsidRPr="00B61BA8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https://apprendre.tv5monde.com/fr/exercices/b2-avance/merci-handy-une-start-succes</w:t>
            </w:r>
            <w:r w:rsidR="00B61BA8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AF197D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FF4273" w:rsidRDefault="00FA4D11" w:rsidP="00B61B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ПИСЬМОВА КОНТРОЛЬНА РОБОТА 2</w:t>
            </w:r>
            <w:r w:rsidRPr="00D250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F197D" w:rsidRP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MARKETING</w:t>
            </w:r>
            <w:r w:rsidR="00AF197D" w:rsidRPr="005C30F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(20 балів)</w:t>
            </w:r>
          </w:p>
        </w:tc>
      </w:tr>
      <w:tr w:rsidR="00FA4D11" w:rsidRPr="009B606F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DD307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D307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11</w:t>
            </w:r>
          </w:p>
          <w:p w:rsidR="00FA4D11" w:rsidRPr="0068412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B61BA8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Письмова контрольна робота за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fr-FR"/>
              </w:rPr>
              <w:t>Unit</w:t>
            </w:r>
            <w:r w:rsidRPr="00B61BA8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r w:rsidR="00FA4D11"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4D11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3-4.</w:t>
            </w:r>
          </w:p>
          <w:p w:rsidR="00FA4D11" w:rsidRPr="007A10AE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6D0C6D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ІНДИВІДУАЛЬНЕ ЗАВДАННЯ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(20 балів)</w:t>
            </w:r>
          </w:p>
        </w:tc>
      </w:tr>
      <w:tr w:rsidR="00AF197D" w:rsidRPr="006D0C6D" w:rsidTr="00AF197D">
        <w:trPr>
          <w:trHeight w:val="599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самостійної роботи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106D9" w:rsidRDefault="00AF197D" w:rsidP="005C30F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</w:t>
            </w:r>
            <w:r w:rsidRPr="00A106D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брання трьох оригінальних іспаномовних документів та їх переклад українською мовою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F197D" w:rsidRPr="006D0C6D" w:rsidTr="00AF197D">
        <w:trPr>
          <w:trHeight w:val="268"/>
        </w:trPr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Default="00AF197D" w:rsidP="005C30F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</w:t>
            </w:r>
            <w:r w:rsidRPr="00A106D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ексикологічна робота з документами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F197D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Залік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(20 балів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8A1752" w:rsidTr="00FA4D11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самостійної роботи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(передбачається проведення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у разі переходу на дистанційне навчання)</w:t>
            </w:r>
            <w:r w:rsidRPr="00541CA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A4D11" w:rsidRPr="00541CA4" w:rsidTr="00FA4D11"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Читання та переклад уривка з оригінального іспаномовного тексту</w:t>
            </w:r>
            <w:r w:rsidRPr="00541C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A4D11" w:rsidRPr="00541CA4" w:rsidTr="00FA4D11"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Обговорення розмовн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ої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A4D11" w:rsidRPr="00541CA4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541CA4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FA4D11" w:rsidRPr="008A1752" w:rsidRDefault="00FA4D11" w:rsidP="00FA4D11">
      <w:pPr>
        <w:spacing w:after="0" w:line="240" w:lineRule="auto"/>
        <w:ind w:left="2160" w:firstLine="720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541CA4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  <w:t xml:space="preserve">ОСНОВНІ ДЖЕРЕЛА 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val="uk-UA"/>
        </w:rPr>
      </w:pPr>
    </w:p>
    <w:p w:rsidR="00FA4D11" w:rsidRPr="00CA4EA3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uk-UA"/>
        </w:rPr>
        <w:t>Книги:</w:t>
      </w:r>
    </w:p>
    <w:p w:rsidR="00B61BA8" w:rsidRPr="00B61BA8" w:rsidRDefault="00B61BA8" w:rsidP="00B61B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Penfornis</w:t>
      </w:r>
      <w:proofErr w:type="spellEnd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Jean-Luc</w:t>
      </w:r>
      <w:proofErr w:type="spellEnd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- Affaires.com </w:t>
      </w:r>
      <w:proofErr w:type="spellStart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Fran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cais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professionnel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niveau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avanc</w:t>
      </w:r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.Деловая</w:t>
      </w:r>
      <w:proofErr w:type="spellEnd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корреспонденция</w:t>
      </w:r>
      <w:proofErr w:type="spellEnd"/>
      <w:r w:rsidRPr="00351FDA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B61BA8" w:rsidRPr="00B61BA8" w:rsidRDefault="00B61BA8" w:rsidP="00B61B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Колечко О.Д., Крилова В.Г. Ділова французька мова. — К., 1999</w:t>
      </w:r>
    </w:p>
    <w:p w:rsidR="00B61BA8" w:rsidRPr="00B61BA8" w:rsidRDefault="00B61BA8" w:rsidP="00B61B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Паламар Л.М., </w:t>
      </w:r>
      <w:proofErr w:type="spellStart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Кощавець</w:t>
      </w:r>
      <w:proofErr w:type="spellEnd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Г.М. Мова ділових паперів. — К., 2000</w:t>
      </w:r>
    </w:p>
    <w:p w:rsidR="00B61BA8" w:rsidRPr="00B61BA8" w:rsidRDefault="00B61BA8" w:rsidP="00B61B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Иванова Г.С. Деловой французский язык. Коммерческая корреспонденция. — М., НВИ, Тезаурус, 2003</w:t>
      </w:r>
    </w:p>
    <w:p w:rsidR="00B61BA8" w:rsidRPr="00B61BA8" w:rsidRDefault="00B61BA8" w:rsidP="00B61B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Шлепнев</w:t>
      </w:r>
      <w:proofErr w:type="spellEnd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Д. </w:t>
      </w:r>
      <w:proofErr w:type="spellStart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Составление</w:t>
      </w:r>
      <w:proofErr w:type="spellEnd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>перевод</w:t>
      </w:r>
      <w:proofErr w:type="spellEnd"/>
      <w:r w:rsidRPr="00B61B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официально-деловой корреспонденции. — М., Восток-Запад, 2006</w:t>
      </w:r>
    </w:p>
    <w:p w:rsidR="00FA4D11" w:rsidRPr="008A1752" w:rsidRDefault="00FA4D11" w:rsidP="00FA4D11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Інформаційні ресурси:</w:t>
      </w:r>
    </w:p>
    <w:p w:rsidR="00FA4D11" w:rsidRPr="00A03DE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 xml:space="preserve">Dictionnaires: -http://dictionnaire-commercial.com/fr -Dictionnaire d'apprentissage du français des affaires : </w:t>
      </w:r>
      <w:r>
        <w:rPr>
          <w:lang w:val="fr-FR"/>
        </w:rPr>
        <w:fldChar w:fldCharType="begin"/>
      </w:r>
      <w:r>
        <w:rPr>
          <w:lang w:val="fr-FR"/>
        </w:rPr>
        <w:instrText xml:space="preserve"> HYPERLINK "</w:instrText>
      </w:r>
      <w:r w:rsidRPr="00351FDA">
        <w:rPr>
          <w:lang w:val="fr-FR"/>
        </w:rPr>
        <w:instrText>http://www.projetdafa.net/</w:instrText>
      </w:r>
      <w:r>
        <w:rPr>
          <w:lang w:val="fr-FR"/>
        </w:rPr>
        <w:instrText xml:space="preserve">" </w:instrText>
      </w:r>
      <w:r>
        <w:rPr>
          <w:lang w:val="fr-FR"/>
        </w:rPr>
        <w:fldChar w:fldCharType="separate"/>
      </w:r>
      <w:r w:rsidRPr="00304BC0">
        <w:rPr>
          <w:rStyle w:val="aa"/>
          <w:lang w:val="fr-FR"/>
        </w:rPr>
        <w:t>http://www.projetdafa.net/</w:t>
      </w:r>
      <w:r>
        <w:rPr>
          <w:lang w:val="fr-FR"/>
        </w:rPr>
        <w:fldChar w:fldCharType="end"/>
      </w: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 xml:space="preserve">Lexique socio-économique: </w:t>
      </w:r>
    </w:p>
    <w:p w:rsidR="00B61BA8" w:rsidRDefault="00B61BA8" w:rsidP="00B61BA8">
      <w:pPr>
        <w:spacing w:after="0" w:line="240" w:lineRule="auto"/>
        <w:rPr>
          <w:lang w:val="fr-FR"/>
        </w:rPr>
      </w:pPr>
      <w:hyperlink r:id="rId8" w:history="1">
        <w:r w:rsidRPr="00304BC0">
          <w:rPr>
            <w:rStyle w:val="aa"/>
            <w:lang w:val="fr-FR"/>
          </w:rPr>
          <w:t>http://www.ac-versailles.fr/etabliss/herblay/LEXECO/default.htm</w:t>
        </w:r>
      </w:hyperlink>
      <w:r w:rsidRPr="00351FDA">
        <w:rPr>
          <w:lang w:val="fr-FR"/>
        </w:rPr>
        <w:t xml:space="preserve">. </w:t>
      </w: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>Français des affaires:</w:t>
      </w:r>
    </w:p>
    <w:p w:rsidR="00B61BA8" w:rsidRDefault="00B61BA8" w:rsidP="00B61BA8">
      <w:pPr>
        <w:spacing w:after="0" w:line="240" w:lineRule="auto"/>
        <w:rPr>
          <w:lang w:val="fr-FR"/>
        </w:rPr>
      </w:pPr>
      <w:hyperlink r:id="rId9" w:history="1">
        <w:r w:rsidRPr="00304BC0">
          <w:rPr>
            <w:rStyle w:val="aa"/>
            <w:lang w:val="fr-FR"/>
          </w:rPr>
          <w:t>http://www.français-affaires.com</w:t>
        </w:r>
      </w:hyperlink>
    </w:p>
    <w:p w:rsidR="00B61BA8" w:rsidRDefault="00B61BA8" w:rsidP="00B61BA8">
      <w:pPr>
        <w:spacing w:after="0" w:line="240" w:lineRule="auto"/>
        <w:rPr>
          <w:lang w:val="fr-FR"/>
        </w:rPr>
      </w:pP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>http://www.bonjourdefrance.com/index/indexfranaff.htm ( lettre de motivation et de candidature, p</w:t>
      </w:r>
      <w:r>
        <w:rPr>
          <w:lang w:val="fr-FR"/>
        </w:rPr>
        <w:t>etites annonces , entretiens)</w:t>
      </w: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>http://www.francparler.org/parcours/affaires.htm -http://www.fda.ccip.fr/ressources/le-monde-des-affaires</w:t>
      </w:r>
    </w:p>
    <w:p w:rsidR="00B61BA8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 xml:space="preserve"> Lexique audiovisuel: </w:t>
      </w:r>
    </w:p>
    <w:p w:rsidR="00B61BA8" w:rsidRPr="00351FDA" w:rsidRDefault="00B61BA8" w:rsidP="00B61BA8">
      <w:pPr>
        <w:spacing w:after="0" w:line="240" w:lineRule="auto"/>
        <w:rPr>
          <w:lang w:val="fr-FR"/>
        </w:rPr>
      </w:pPr>
      <w:r w:rsidRPr="00351FDA">
        <w:rPr>
          <w:lang w:val="fr-FR"/>
        </w:rPr>
        <w:t>-ttp://lexiquefle.canalblog.com/</w:t>
      </w:r>
    </w:p>
    <w:p w:rsidR="00FA4D11" w:rsidRPr="00B61BA8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fr-FR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РЕГУЛЯЦІЇ І ПОЛІТИКИ КУРСУ</w:t>
      </w:r>
      <w:r w:rsidRPr="002761F2">
        <w:rPr>
          <w:rFonts w:ascii="Times New Roman" w:eastAsia="MS Mincho" w:hAnsi="Times New Roman" w:cs="Times New Roman"/>
          <w:b/>
          <w:bCs/>
          <w:sz w:val="24"/>
          <w:szCs w:val="24"/>
          <w:vertAlign w:val="superscript"/>
          <w:lang w:val="uk-UA"/>
        </w:rPr>
        <w:footnoteReference w:id="2"/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Відвідування занять. Регуляція пропусків.</w:t>
      </w:r>
    </w:p>
    <w:p w:rsidR="00FA4D11" w:rsidRPr="002761F2" w:rsidRDefault="00FA4D11" w:rsidP="00FA4D11">
      <w:pPr>
        <w:spacing w:after="0" w:line="240" w:lineRule="auto"/>
        <w:jc w:val="both"/>
        <w:rPr>
          <w:i/>
          <w:iCs/>
          <w:color w:val="000000"/>
          <w:sz w:val="24"/>
          <w:szCs w:val="24"/>
          <w:lang w:val="uk-UA"/>
        </w:rPr>
      </w:pPr>
      <w:r w:rsidRPr="00DE34C1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Відвідування занять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є обов’язковим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оскільки курс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має 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на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меті постійну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практику </w:t>
      </w:r>
      <w:r w:rsidR="00B61BA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французької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мови.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Інтерактивний характер курсу передбачає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вирішальну роль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практичних занять.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І викладач, і студенти в аудиторії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спілкую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ться </w:t>
      </w:r>
      <w:r w:rsidR="00B61BA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французькою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мовою на постійній основі</w:t>
      </w:r>
      <w:r w:rsidR="00B61BA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не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залежно від рівня володіння мовою. </w:t>
      </w:r>
      <w:bookmarkStart w:id="0" w:name="_GoBack"/>
      <w:bookmarkEnd w:id="0"/>
      <w:r w:rsidRPr="004A59C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Виконання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домашніх завдань носить обов’язковий характер</w:t>
      </w:r>
      <w:r w:rsidRPr="004A59C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Пропуски можливі лише з поважної причини.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Студенти, які за певних обставин не можуть регулярно відвідувати практичні заняття, мусять впродовж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першого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тижня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навчання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узгодити із викладачем графік індивідуального відпрацювання пропущених занять. Окремі пропущенні завдання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треба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відпрац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ювати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 найближчій консультації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протягом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тижня після пропуску. Відпрацювання занять здійснюється усно у формі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діалогу викладача та студента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за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тематикою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ь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, визначени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х за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планом заняття. В окремих випадках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є допустимим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письмове відпрацювання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матеріалу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шляхом виконання індивідуального письмового завдання.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Відпрацювання пропущених занять має бути регулярним за домовленістю з викладачем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відповідно до графіку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консультацій. Накопичення відпрацювань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є неприпустимим.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За умови систематичн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ості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пропусків може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розглядатися питання про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повторн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вивчення дисципліни (див. посилання на Положення у додатку до </w:t>
      </w:r>
      <w:proofErr w:type="spellStart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силабусу</w:t>
      </w:r>
      <w:proofErr w:type="spellEnd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).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Підручник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У кожного студента має бути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основний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підручник для практичної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роботи на занятті. Ф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орма підручника (паперова чи електронна)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не відіграє вирішальної ролі, проте для зручності роботи викладач рекомендує користуватися паперовими носіями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Політика академічної доброчесності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Усі письмові роботи, що виконуються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студентами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</w:rPr>
        <w:t>UniCheck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Відповідно до чинних правових норм, плагіатом вважатиметься: копіювання чужої роботи (есе)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рерайт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(перефразування чужої праці без згадування оригінального автора). </w:t>
      </w:r>
    </w:p>
    <w:p w:rsidR="00FA4D11" w:rsidRPr="002761F2" w:rsidRDefault="00FA4D11" w:rsidP="00FA4D11">
      <w:pPr>
        <w:spacing w:after="0" w:line="240" w:lineRule="auto"/>
        <w:jc w:val="both"/>
        <w:rPr>
          <w:i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4A59C5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плагіат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Використання будь-якої інформації (текст, фото, ілюстрації тощо) мають бути правильно процитовані з поси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ланням на автора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силабусу</w:t>
      </w:r>
      <w:proofErr w:type="spellEnd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).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Висока академічна культура та європейські стандарти якості освіти, яких дотримуються у ЗНУ, вимагають від студентів відповідального ставлення до вибору джерел.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Використання комп’ютерів/телефонів на занятті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Будь ласка,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мкніть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опцію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беззвучн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режим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у на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свої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х мобільних телефонах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та не користуйтеся ними під час занять. Мобільні телефони відволікають викладача та ваших колег. Під час занять заборон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яється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надсилання текстових повідомлень, прослуховування музики, перевірка електронної пошти, соціальних мереж тощо. Електронні пристрої можна використовувати лише за умови виробничої необхідності в них (за погодженням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з викладачем).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 час виконання заходів контролю (термінологічних диктантів, контрольних робіт, іспитів)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використання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гаджетів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забороняється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 У раз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порушення цієї заборони робота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анул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юється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без права перескладання.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Комунікація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</w:rPr>
        <w:t>Moodle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С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туденти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мають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перевіряти свою електронну пошту і сторінку дисципліни в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Moodle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та своєчасно реагувати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на будь-які повідомлення. У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сі робочі оголошення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можуть надсилатися через старосту, на електронну пошту,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через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групи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у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Viber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/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Telegram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та розміщуватися в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Moodle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. Будь ласка,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систематично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перевіряйте повідомлення. 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Електронну пошту 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>слід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підписа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>ти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справжнім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ім’ям та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прізвищем</w:t>
      </w:r>
      <w:r w:rsidRPr="00855BB8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.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Адреси типу 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user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</w:rPr>
        <w:t>123@</w:t>
      </w:r>
      <w:proofErr w:type="spellStart"/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gmail</w:t>
      </w:r>
      <w:proofErr w:type="spellEnd"/>
      <w:r w:rsidRPr="00374212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com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не приймаються!</w:t>
      </w:r>
    </w:p>
    <w:p w:rsidR="00FA4D11" w:rsidRDefault="00FA4D11" w:rsidP="00FA4D11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br w:type="page"/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8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8"/>
          <w:szCs w:val="24"/>
          <w:lang w:val="uk-UA"/>
        </w:rPr>
        <w:lastRenderedPageBreak/>
        <w:t>ДОДАТОК ДО СИЛАБУСУ ЗНУ – 2020-2021 рр.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0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>ГРАФІК НАВЧАЛЬНОГО ПРОЦЕСУ</w:t>
      </w:r>
      <w:r w:rsidRPr="008A1752">
        <w:rPr>
          <w:rFonts w:ascii="Cambria" w:eastAsia="MS Mincho" w:hAnsi="Cambria" w:cs="Times New Roman"/>
          <w:b/>
          <w:i/>
          <w:sz w:val="20"/>
          <w:szCs w:val="20"/>
        </w:rPr>
        <w:t xml:space="preserve"> 2020-2021 </w:t>
      </w: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н. р. </w:t>
      </w:r>
      <w:r w:rsidRPr="008A1752">
        <w:rPr>
          <w:rFonts w:ascii="Cambria" w:eastAsia="MS Mincho" w:hAnsi="Cambria" w:cs="Times New Roman"/>
          <w:i/>
          <w:sz w:val="20"/>
          <w:szCs w:val="20"/>
          <w:lang w:val="uk-UA"/>
        </w:rPr>
        <w:t>(посилання на сторінку сайту ЗНУ)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АКАДЕМІЧНА ДОБРОЧЕСНІСТЬ.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Кодексом академічної доброчесності ЗНУ</w:t>
      </w:r>
      <w:r w:rsidRPr="008A1752">
        <w:rPr>
          <w:rFonts w:ascii="Cambria" w:eastAsia="MS Mincho" w:hAnsi="Cambria" w:cs="Times New Roman"/>
          <w:b/>
          <w:sz w:val="20"/>
          <w:szCs w:val="24"/>
          <w:lang w:val="uk-UA"/>
        </w:rPr>
        <w:t>:</w:t>
      </w:r>
      <w:r>
        <w:rPr>
          <w:rFonts w:ascii="Cambria" w:eastAsia="MS Mincho" w:hAnsi="Cambria" w:cs="Times New Roman"/>
          <w:b/>
          <w:sz w:val="20"/>
          <w:szCs w:val="24"/>
          <w:lang w:val="uk-UA"/>
        </w:rPr>
        <w:t xml:space="preserve"> </w:t>
      </w:r>
      <w:hyperlink r:id="rId10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https://tinyurl.com/ya6yk4ad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Декларація академічної доброчесності здобувача вищої освіти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1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https://tinyurl.com/y6wzzlu3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НАВЧАЛЬНИЙ ПРОЦЕС ТА ЗАБЕЗПЕЧЕННЯ ЯКОСТІ ОСВІТИ.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2" w:history="1"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https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://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tinyurl</w:t>
        </w:r>
        <w:proofErr w:type="spellEnd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.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com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/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y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9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tve</w:t>
        </w:r>
        <w:proofErr w:type="spellEnd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4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lk</w:t>
        </w:r>
        <w:proofErr w:type="spellEnd"/>
      </w:hyperlink>
      <w:r w:rsidRPr="008A1752">
        <w:rPr>
          <w:rFonts w:ascii="Cambria" w:eastAsia="MS Mincho" w:hAnsi="Cambria" w:cs="Times New Roman"/>
          <w:b/>
          <w:bCs/>
          <w:sz w:val="20"/>
          <w:szCs w:val="24"/>
          <w:shd w:val="clear" w:color="auto" w:fill="FFFFFF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ПОВТОРНЕ ВИВЧЕННЯ ДИСЦИПЛІН, ВІДРАХУВАННЯ.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3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https://tinyurl.com/y9pkmmp5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переведення, відрахування та поновлення студентів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4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https://tinyurl.com/ycds57la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НЕФОРМАЛЬНА ОСВІТА.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визнання результатів навчання, отриманих у неформальній освіті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5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https://tinyurl.com/y8gbt4xs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ВИРІШЕННЯ КОНФЛІКТІВ.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і процедури вирішення конфліктних ситуацій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6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https://tinyurl.com/ycyfws9v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порядок призначення і виплати академічних стипендій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7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https://tinyurl.com/yd6bq6p9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; </w:t>
      </w:r>
      <w:r w:rsidRPr="008A1752">
        <w:rPr>
          <w:rFonts w:ascii="Cambria" w:eastAsia="MS Mincho" w:hAnsi="Cambria" w:cs="Times New Roman"/>
          <w:i/>
          <w:iCs/>
          <w:sz w:val="20"/>
          <w:szCs w:val="24"/>
          <w:lang w:val="uk-UA"/>
        </w:rPr>
        <w:t>Положення про призначення та виплату соціальних стипендій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8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https://tinyurl.com/y9r5dpwh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ПСИХОЛОГІЧНА ДОПОМОГА.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Телефон довіри практичного психолога (061)228-15-84 (щоденно з 9 до 21).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ЗАПОБІГАННЯ КОРУПЦІЇ. </w:t>
      </w:r>
      <w:r w:rsidRPr="008A1752">
        <w:rPr>
          <w:rFonts w:ascii="Cambria" w:eastAsia="MS Mincho" w:hAnsi="Cambria" w:cs="Times New Roman"/>
          <w:sz w:val="20"/>
          <w:szCs w:val="20"/>
          <w:lang w:val="uk-UA"/>
        </w:rPr>
        <w:t xml:space="preserve">Уповноважена особа </w:t>
      </w:r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з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питань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запобігання</w:t>
      </w:r>
      <w:proofErr w:type="spellEnd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виявлення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корупції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(Воронков В. В., 1 корп., 29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каб</w:t>
      </w:r>
      <w:proofErr w:type="spellEnd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., тел. </w:t>
      </w:r>
      <w:r w:rsidRPr="00B36D0E">
        <w:rPr>
          <w:rFonts w:ascii="Cambria" w:eastAsia="MS Mincho" w:hAnsi="Cambria" w:cs="Arial"/>
          <w:sz w:val="20"/>
          <w:szCs w:val="20"/>
          <w:shd w:val="clear" w:color="auto" w:fill="FFFFFF"/>
        </w:rPr>
        <w:t>+38 (061) 289-14-18).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РІВНІ МОЖЛИВОСТІ ТА ІНКЛЮЗИВНЕ ОСВІТНЄ СЕРЕДОВИЩЕ.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 у ЗНУ: </w:t>
      </w:r>
      <w:hyperlink r:id="rId19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https://tinyurl.com/ydhcsagx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РЕСУРСИ ДЛЯ НАВЧАННЯ. Наукова бібліотека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20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http://library.znu.edu.ua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 Графік роботи абонементів: понеділок – п`ятниця з 08.00 до 17.00; субота з 09.00 до 15.00.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ЕЛЕКТРОННЕ ЗАБЕЗПЕЧЕННЯ НАВЧАННЯ (MOODLE): https://moodle.znu.edu.ua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Якщо забули пароль/логін, направте листа з темою «Забув пароль/логін» за адресами: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·   для студентів ЗНУ - moodle.znu@gmail.com, Савченко Тетяна Володимирівна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Якщо ви вказували електронну адресу в профілі системи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Moodle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інтенсивного вивчення іноземних мов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http://sites.znu.edu.ua/child-advance/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німецької мови, партнер Гете-інституту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https://www.znu.edu.ua/ukr/edu/ocznu/nim</w:t>
      </w:r>
    </w:p>
    <w:p w:rsidR="00276609" w:rsidRPr="00FA4D11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Школа Конфуція (вивчення китайської мови)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http://sites.znu.edu.ua/confucius</w:t>
      </w:r>
    </w:p>
    <w:sectPr w:rsidR="00276609" w:rsidRPr="00FA4D11" w:rsidSect="00FA4D11">
      <w:headerReference w:type="default" r:id="rId21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39" w:rsidRDefault="00230739" w:rsidP="00FA4D11">
      <w:pPr>
        <w:spacing w:after="0" w:line="240" w:lineRule="auto"/>
      </w:pPr>
      <w:r>
        <w:separator/>
      </w:r>
    </w:p>
  </w:endnote>
  <w:endnote w:type="continuationSeparator" w:id="0">
    <w:p w:rsidR="00230739" w:rsidRDefault="00230739" w:rsidP="00FA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39" w:rsidRDefault="00230739" w:rsidP="00FA4D11">
      <w:pPr>
        <w:spacing w:after="0" w:line="240" w:lineRule="auto"/>
      </w:pPr>
      <w:r>
        <w:separator/>
      </w:r>
    </w:p>
  </w:footnote>
  <w:footnote w:type="continuationSeparator" w:id="0">
    <w:p w:rsidR="00230739" w:rsidRDefault="00230739" w:rsidP="00FA4D11">
      <w:pPr>
        <w:spacing w:after="0" w:line="240" w:lineRule="auto"/>
      </w:pPr>
      <w:r>
        <w:continuationSeparator/>
      </w:r>
    </w:p>
  </w:footnote>
  <w:footnote w:id="1">
    <w:p w:rsidR="001F1EA4" w:rsidRPr="00112384" w:rsidRDefault="001F1EA4" w:rsidP="00FA4D11">
      <w:pPr>
        <w:pStyle w:val="a5"/>
      </w:pPr>
      <w:r w:rsidRPr="000F48AB">
        <w:rPr>
          <w:rStyle w:val="a8"/>
          <w:b/>
          <w:sz w:val="22"/>
          <w:szCs w:val="22"/>
        </w:rPr>
        <w:footnoteRef/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1F1EA4" w:rsidRPr="009F6B92" w:rsidRDefault="001F1EA4" w:rsidP="00FA4D11">
      <w:pPr>
        <w:pStyle w:val="a5"/>
        <w:rPr>
          <w:i/>
        </w:rPr>
      </w:pPr>
      <w:r w:rsidRPr="009F6B92">
        <w:rPr>
          <w:rStyle w:val="a8"/>
          <w:i/>
        </w:rPr>
        <w:footnoteRef/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4" w:rsidRPr="006F1B80" w:rsidRDefault="001F1EA4" w:rsidP="00FA4D11">
    <w:pPr>
      <w:pStyle w:val="a3"/>
      <w:jc w:val="center"/>
      <w:rPr>
        <w:rFonts w:ascii="Cambria" w:hAnsi="Cambria" w:cs="Tahoma"/>
        <w:b/>
        <w:lang w:val="uk-UA"/>
      </w:rPr>
    </w:pPr>
    <w:r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29751594" wp14:editId="0BC993EE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lang w:val="uk-UA"/>
      </w:rPr>
      <w:t>З</w:t>
    </w:r>
    <w:r w:rsidRPr="006F1B80">
      <w:rPr>
        <w:rFonts w:ascii="Cambria" w:hAnsi="Cambria" w:cs="Tahoma"/>
        <w:b/>
        <w:lang w:val="uk-UA"/>
      </w:rPr>
      <w:t>АПОРІЗЬКИЙ НАЦІОНАЛЬНИЙ УНІВЕРСИТЕТ</w:t>
    </w:r>
  </w:p>
  <w:p w:rsidR="001F1EA4" w:rsidRPr="00E42FA1" w:rsidRDefault="001F1EA4" w:rsidP="00FA4D11">
    <w:pPr>
      <w:pStyle w:val="a3"/>
      <w:jc w:val="center"/>
      <w:rPr>
        <w:rFonts w:ascii="Cambria" w:hAnsi="Cambria" w:cs="Tahoma"/>
        <w:b/>
        <w:lang w:val="uk-UA"/>
      </w:rPr>
    </w:pPr>
    <w:r>
      <w:rPr>
        <w:rFonts w:ascii="Cambria" w:hAnsi="Cambria" w:cs="Tahoma"/>
        <w:b/>
        <w:lang w:val="uk-UA"/>
      </w:rPr>
      <w:t>ФАКУЛЬТЕТ ІНОЗЕМНОЇ ФІЛОЛОГІЇ</w:t>
    </w:r>
  </w:p>
  <w:p w:rsidR="001F1EA4" w:rsidRPr="009E7399" w:rsidRDefault="001F1EA4" w:rsidP="00FA4D11">
    <w:pPr>
      <w:pStyle w:val="a3"/>
      <w:jc w:val="center"/>
      <w:rPr>
        <w:rFonts w:ascii="Cambria" w:hAnsi="Cambria" w:cs="Tahoma"/>
        <w:b/>
        <w:lang w:val="uk-UA"/>
      </w:rPr>
    </w:pPr>
    <w:proofErr w:type="spellStart"/>
    <w:r w:rsidRPr="006F1B80">
      <w:rPr>
        <w:rFonts w:ascii="Cambria" w:hAnsi="Cambria" w:cs="Tahoma"/>
        <w:b/>
        <w:lang w:val="uk-UA"/>
      </w:rPr>
      <w:t>Силабус</w:t>
    </w:r>
    <w:proofErr w:type="spellEnd"/>
    <w:r w:rsidRPr="006F1B80">
      <w:rPr>
        <w:rFonts w:ascii="Cambria" w:hAnsi="Cambria" w:cs="Tahoma"/>
        <w:b/>
        <w:lang w:val="uk-UA"/>
      </w:rPr>
      <w:t xml:space="preserve"> навчальної дисципліни</w:t>
    </w:r>
  </w:p>
  <w:p w:rsidR="001F1EA4" w:rsidRPr="00CF2559" w:rsidRDefault="001F1EA4" w:rsidP="00FA4D11">
    <w:pPr>
      <w:pStyle w:val="a3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EE2"/>
    <w:multiLevelType w:val="hybridMultilevel"/>
    <w:tmpl w:val="72EA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503"/>
    <w:multiLevelType w:val="hybridMultilevel"/>
    <w:tmpl w:val="6EB6D0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00B4E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C11162"/>
    <w:multiLevelType w:val="hybridMultilevel"/>
    <w:tmpl w:val="CB1E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F2420"/>
    <w:multiLevelType w:val="hybridMultilevel"/>
    <w:tmpl w:val="60086CBE"/>
    <w:lvl w:ilvl="0" w:tplc="6A6AF8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5276E"/>
    <w:multiLevelType w:val="hybridMultilevel"/>
    <w:tmpl w:val="1D08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84FE8"/>
    <w:multiLevelType w:val="hybridMultilevel"/>
    <w:tmpl w:val="30548EC4"/>
    <w:lvl w:ilvl="0" w:tplc="28B28AD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C6B23"/>
    <w:multiLevelType w:val="hybridMultilevel"/>
    <w:tmpl w:val="E228B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7481D"/>
    <w:multiLevelType w:val="hybridMultilevel"/>
    <w:tmpl w:val="5E8C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DA"/>
    <w:rsid w:val="00162759"/>
    <w:rsid w:val="001906DA"/>
    <w:rsid w:val="001F1EA4"/>
    <w:rsid w:val="002239E3"/>
    <w:rsid w:val="00230739"/>
    <w:rsid w:val="00276609"/>
    <w:rsid w:val="00351FDA"/>
    <w:rsid w:val="00387E2C"/>
    <w:rsid w:val="00427A88"/>
    <w:rsid w:val="00477C30"/>
    <w:rsid w:val="004C4F2A"/>
    <w:rsid w:val="00531D31"/>
    <w:rsid w:val="005457C0"/>
    <w:rsid w:val="00587658"/>
    <w:rsid w:val="005C30F4"/>
    <w:rsid w:val="005D4BA0"/>
    <w:rsid w:val="005D65F7"/>
    <w:rsid w:val="0074370B"/>
    <w:rsid w:val="008D28DC"/>
    <w:rsid w:val="00906D8E"/>
    <w:rsid w:val="00933AA7"/>
    <w:rsid w:val="00942BCB"/>
    <w:rsid w:val="00A00015"/>
    <w:rsid w:val="00A34DB8"/>
    <w:rsid w:val="00A67A45"/>
    <w:rsid w:val="00AF197D"/>
    <w:rsid w:val="00B61BA8"/>
    <w:rsid w:val="00C0671F"/>
    <w:rsid w:val="00CE1DFC"/>
    <w:rsid w:val="00D852C9"/>
    <w:rsid w:val="00E57A28"/>
    <w:rsid w:val="00F34D37"/>
    <w:rsid w:val="00F52DA4"/>
    <w:rsid w:val="00F749B3"/>
    <w:rsid w:val="00F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2B55"/>
  <w15:docId w15:val="{D18E8D2F-42B1-46CC-BAF5-8AD9952A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11"/>
  </w:style>
  <w:style w:type="paragraph" w:styleId="1">
    <w:name w:val="heading 1"/>
    <w:basedOn w:val="a"/>
    <w:next w:val="a"/>
    <w:link w:val="10"/>
    <w:uiPriority w:val="9"/>
    <w:qFormat/>
    <w:rsid w:val="00FA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4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FA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A4D11"/>
  </w:style>
  <w:style w:type="paragraph" w:styleId="a5">
    <w:name w:val="footnote text"/>
    <w:basedOn w:val="a"/>
    <w:link w:val="a6"/>
    <w:semiHidden/>
    <w:rsid w:val="00FA4D1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FA4D11"/>
    <w:rPr>
      <w:sz w:val="20"/>
      <w:szCs w:val="20"/>
    </w:rPr>
  </w:style>
  <w:style w:type="character" w:styleId="a8">
    <w:name w:val="footnote reference"/>
    <w:semiHidden/>
    <w:rsid w:val="00FA4D11"/>
    <w:rPr>
      <w:rFonts w:cs="Times New Roman"/>
      <w:vertAlign w:val="superscript"/>
    </w:rPr>
  </w:style>
  <w:style w:type="character" w:customStyle="1" w:styleId="a6">
    <w:name w:val="Текст виноски Знак"/>
    <w:link w:val="a5"/>
    <w:semiHidden/>
    <w:locked/>
    <w:rsid w:val="00FA4D11"/>
    <w:rPr>
      <w:rFonts w:ascii="Times New Roman" w:eastAsia="MS Mincho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A4D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A4D11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FA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A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versailles.fr/etabliss/herblay/LEXECO/default.htm" TargetMode="External"/><Relationship Id="rId13" Type="http://schemas.openxmlformats.org/officeDocument/2006/relationships/hyperlink" Target="https://tinyurl.com/y9pkmmp5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apprendre.tv5monde.com/fr/exercices/b2-avance/merci-handy-une-start-succes" TargetMode="External"/><Relationship Id="rId12" Type="http://schemas.openxmlformats.org/officeDocument/2006/relationships/hyperlink" Target="https://tinyurl.com/y9tve4lk" TargetMode="External"/><Relationship Id="rId17" Type="http://schemas.openxmlformats.org/officeDocument/2006/relationships/hyperlink" Target="https://tinyurl.com/yd6bq6p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cyfws9v" TargetMode="External"/><Relationship Id="rId20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6wzzlu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8gbt4x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ya6yk4ad" TargetMode="External"/><Relationship Id="rId19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&#231;ais-affaires.com" TargetMode="External"/><Relationship Id="rId14" Type="http://schemas.openxmlformats.org/officeDocument/2006/relationships/hyperlink" Target="https://tinyurl.com/ycds57l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3070</Words>
  <Characters>17500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Ирина</cp:lastModifiedBy>
  <cp:revision>7</cp:revision>
  <dcterms:created xsi:type="dcterms:W3CDTF">2020-12-12T08:25:00Z</dcterms:created>
  <dcterms:modified xsi:type="dcterms:W3CDTF">2021-10-07T20:07:00Z</dcterms:modified>
</cp:coreProperties>
</file>