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A127" w14:textId="7A6A6251" w:rsidR="00371583" w:rsidRDefault="009F38F3" w:rsidP="009F3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8F3">
        <w:rPr>
          <w:rFonts w:ascii="Times New Roman" w:hAnsi="Times New Roman" w:cs="Times New Roman"/>
          <w:sz w:val="28"/>
          <w:szCs w:val="28"/>
        </w:rPr>
        <w:t>Питання до заліку</w:t>
      </w:r>
    </w:p>
    <w:p w14:paraId="5528B626" w14:textId="77777777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</w:rPr>
        <w:t xml:space="preserve">Охарактеризуйте </w:t>
      </w:r>
      <w:proofErr w:type="spellStart"/>
      <w:r w:rsidRPr="000845B3">
        <w:rPr>
          <w:color w:val="000000"/>
          <w:sz w:val="28"/>
          <w:szCs w:val="28"/>
        </w:rPr>
        <w:t>поняття</w:t>
      </w:r>
      <w:proofErr w:type="spellEnd"/>
      <w:r w:rsidRPr="000845B3">
        <w:rPr>
          <w:color w:val="000000"/>
          <w:sz w:val="28"/>
          <w:szCs w:val="28"/>
        </w:rPr>
        <w:t xml:space="preserve"> бренда, </w:t>
      </w:r>
      <w:proofErr w:type="spellStart"/>
      <w:r w:rsidRPr="000845B3">
        <w:rPr>
          <w:color w:val="000000"/>
          <w:sz w:val="28"/>
          <w:szCs w:val="28"/>
        </w:rPr>
        <w:t>товарної</w:t>
      </w:r>
      <w:proofErr w:type="spellEnd"/>
      <w:r w:rsidRPr="000845B3">
        <w:rPr>
          <w:color w:val="000000"/>
          <w:sz w:val="28"/>
          <w:szCs w:val="28"/>
        </w:rPr>
        <w:t xml:space="preserve"> марки, брендингу і бренд-менеджменту. </w:t>
      </w:r>
    </w:p>
    <w:p w14:paraId="15E0C020" w14:textId="77777777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</w:rPr>
        <w:t xml:space="preserve">Як </w:t>
      </w:r>
      <w:proofErr w:type="spellStart"/>
      <w:r w:rsidRPr="000845B3">
        <w:rPr>
          <w:color w:val="000000"/>
          <w:sz w:val="28"/>
          <w:szCs w:val="28"/>
        </w:rPr>
        <w:t>здійснюється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трансформація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товарної</w:t>
      </w:r>
      <w:proofErr w:type="spellEnd"/>
      <w:r w:rsidRPr="000845B3">
        <w:rPr>
          <w:color w:val="000000"/>
          <w:sz w:val="28"/>
          <w:szCs w:val="28"/>
        </w:rPr>
        <w:t xml:space="preserve"> марки у бренд? </w:t>
      </w:r>
    </w:p>
    <w:p w14:paraId="6A3749D0" w14:textId="77777777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845B3">
        <w:rPr>
          <w:color w:val="000000"/>
          <w:sz w:val="28"/>
          <w:szCs w:val="28"/>
        </w:rPr>
        <w:t>Поясніть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значення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брендів</w:t>
      </w:r>
      <w:proofErr w:type="spellEnd"/>
      <w:r w:rsidRPr="000845B3">
        <w:rPr>
          <w:color w:val="000000"/>
          <w:sz w:val="28"/>
          <w:szCs w:val="28"/>
        </w:rPr>
        <w:t xml:space="preserve"> у </w:t>
      </w:r>
      <w:proofErr w:type="spellStart"/>
      <w:r w:rsidRPr="000845B3">
        <w:rPr>
          <w:color w:val="000000"/>
          <w:sz w:val="28"/>
          <w:szCs w:val="28"/>
        </w:rPr>
        <w:t>маркетинговій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діяльності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підприємства</w:t>
      </w:r>
      <w:proofErr w:type="spellEnd"/>
      <w:r w:rsidRPr="000845B3">
        <w:rPr>
          <w:color w:val="000000"/>
          <w:sz w:val="28"/>
          <w:szCs w:val="28"/>
        </w:rPr>
        <w:t>.</w:t>
      </w:r>
    </w:p>
    <w:p w14:paraId="6617A79F" w14:textId="7D2A3710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845B3">
        <w:rPr>
          <w:color w:val="000000"/>
          <w:sz w:val="28"/>
          <w:szCs w:val="28"/>
        </w:rPr>
        <w:t>Розгляньте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основні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види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брендів</w:t>
      </w:r>
      <w:proofErr w:type="spellEnd"/>
      <w:r w:rsidRPr="000845B3">
        <w:rPr>
          <w:color w:val="000000"/>
          <w:sz w:val="28"/>
          <w:szCs w:val="28"/>
        </w:rPr>
        <w:t xml:space="preserve">. </w:t>
      </w:r>
      <w:proofErr w:type="spellStart"/>
      <w:r w:rsidRPr="000845B3">
        <w:rPr>
          <w:color w:val="000000"/>
          <w:sz w:val="28"/>
          <w:szCs w:val="28"/>
        </w:rPr>
        <w:t>Поясніть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сутність</w:t>
      </w:r>
      <w:proofErr w:type="spellEnd"/>
      <w:r w:rsidRPr="000845B3">
        <w:rPr>
          <w:color w:val="000000"/>
          <w:sz w:val="28"/>
          <w:szCs w:val="28"/>
        </w:rPr>
        <w:t xml:space="preserve"> кожного з них. </w:t>
      </w:r>
      <w:proofErr w:type="spellStart"/>
      <w:r w:rsidRPr="000845B3">
        <w:rPr>
          <w:color w:val="000000"/>
          <w:sz w:val="28"/>
          <w:szCs w:val="28"/>
        </w:rPr>
        <w:t>Який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існує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між</w:t>
      </w:r>
      <w:proofErr w:type="spellEnd"/>
      <w:r w:rsidRPr="000845B3">
        <w:rPr>
          <w:color w:val="000000"/>
          <w:sz w:val="28"/>
          <w:szCs w:val="28"/>
        </w:rPr>
        <w:t xml:space="preserve"> ними </w:t>
      </w:r>
      <w:proofErr w:type="spellStart"/>
      <w:r w:rsidRPr="000845B3">
        <w:rPr>
          <w:color w:val="000000"/>
          <w:sz w:val="28"/>
          <w:szCs w:val="28"/>
        </w:rPr>
        <w:t>зв’язок</w:t>
      </w:r>
      <w:proofErr w:type="spellEnd"/>
      <w:r w:rsidRPr="000845B3">
        <w:rPr>
          <w:color w:val="000000"/>
          <w:sz w:val="28"/>
          <w:szCs w:val="28"/>
        </w:rPr>
        <w:t>?</w:t>
      </w:r>
    </w:p>
    <w:p w14:paraId="460A15BC" w14:textId="77777777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845B3">
        <w:rPr>
          <w:color w:val="000000"/>
          <w:sz w:val="28"/>
          <w:szCs w:val="28"/>
        </w:rPr>
        <w:t>Назвіть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параметри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формування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іміджу</w:t>
      </w:r>
      <w:proofErr w:type="spellEnd"/>
      <w:r w:rsidRPr="000845B3">
        <w:rPr>
          <w:color w:val="000000"/>
          <w:sz w:val="28"/>
          <w:szCs w:val="28"/>
        </w:rPr>
        <w:t xml:space="preserve"> бренда. </w:t>
      </w:r>
    </w:p>
    <w:p w14:paraId="2A0C5E1B" w14:textId="5E02EDEA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845B3">
        <w:rPr>
          <w:color w:val="000000"/>
          <w:sz w:val="28"/>
          <w:szCs w:val="28"/>
        </w:rPr>
        <w:t>Визначте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складові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елементи</w:t>
      </w:r>
      <w:proofErr w:type="spellEnd"/>
      <w:r w:rsidRPr="000845B3">
        <w:rPr>
          <w:color w:val="000000"/>
          <w:sz w:val="28"/>
          <w:szCs w:val="28"/>
        </w:rPr>
        <w:t xml:space="preserve"> бренда.</w:t>
      </w:r>
    </w:p>
    <w:p w14:paraId="316E0978" w14:textId="5D830418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  <w:lang w:val="uk-UA"/>
        </w:rPr>
        <w:t>Назвіть переважні компонентів впливу на формування бренда.</w:t>
      </w:r>
    </w:p>
    <w:p w14:paraId="7BFFB96F" w14:textId="44841E6A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  <w:lang w:val="uk-UA"/>
        </w:rPr>
        <w:t>Виділіть основні</w:t>
      </w:r>
      <w:r w:rsidRPr="000845B3">
        <w:rPr>
          <w:color w:val="000000"/>
          <w:sz w:val="28"/>
          <w:szCs w:val="28"/>
        </w:rPr>
        <w:t xml:space="preserve"> канал</w:t>
      </w:r>
      <w:r w:rsidRPr="000845B3">
        <w:rPr>
          <w:color w:val="000000"/>
          <w:sz w:val="28"/>
          <w:szCs w:val="28"/>
          <w:lang w:val="uk-UA"/>
        </w:rPr>
        <w:t>и</w:t>
      </w:r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комунікації</w:t>
      </w:r>
      <w:proofErr w:type="spellEnd"/>
      <w:r w:rsidRPr="000845B3">
        <w:rPr>
          <w:color w:val="000000"/>
          <w:sz w:val="28"/>
          <w:szCs w:val="28"/>
        </w:rPr>
        <w:t xml:space="preserve"> для </w:t>
      </w:r>
      <w:proofErr w:type="spellStart"/>
      <w:r w:rsidRPr="000845B3">
        <w:rPr>
          <w:color w:val="000000"/>
          <w:sz w:val="28"/>
          <w:szCs w:val="28"/>
        </w:rPr>
        <w:t>розповсюдження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брендів</w:t>
      </w:r>
      <w:proofErr w:type="spellEnd"/>
      <w:r w:rsidRPr="000845B3">
        <w:rPr>
          <w:color w:val="000000"/>
          <w:sz w:val="28"/>
          <w:szCs w:val="28"/>
        </w:rPr>
        <w:t>. </w:t>
      </w:r>
    </w:p>
    <w:p w14:paraId="1C79DE0D" w14:textId="77777777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845B3">
        <w:rPr>
          <w:color w:val="000000"/>
          <w:sz w:val="28"/>
          <w:szCs w:val="28"/>
        </w:rPr>
        <w:t>Поясніть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сутність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дослідження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сприйняття</w:t>
      </w:r>
      <w:proofErr w:type="spellEnd"/>
      <w:r w:rsidRPr="000845B3">
        <w:rPr>
          <w:color w:val="000000"/>
          <w:sz w:val="28"/>
          <w:szCs w:val="28"/>
        </w:rPr>
        <w:t xml:space="preserve"> бренда </w:t>
      </w:r>
      <w:proofErr w:type="spellStart"/>
      <w:r w:rsidRPr="000845B3">
        <w:rPr>
          <w:color w:val="000000"/>
          <w:sz w:val="28"/>
          <w:szCs w:val="28"/>
        </w:rPr>
        <w:t>цільовою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аудиторією</w:t>
      </w:r>
      <w:proofErr w:type="spellEnd"/>
      <w:r w:rsidRPr="000845B3">
        <w:rPr>
          <w:color w:val="000000"/>
          <w:sz w:val="28"/>
          <w:szCs w:val="28"/>
        </w:rPr>
        <w:t>. </w:t>
      </w:r>
    </w:p>
    <w:p w14:paraId="0A484A41" w14:textId="1B8FB17C" w:rsidR="009F38F3" w:rsidRPr="000845B3" w:rsidRDefault="009F38F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845B3">
        <w:rPr>
          <w:color w:val="000000"/>
          <w:sz w:val="28"/>
          <w:szCs w:val="28"/>
        </w:rPr>
        <w:t>Назвіть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чинники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ідентифікації</w:t>
      </w:r>
      <w:proofErr w:type="spellEnd"/>
      <w:r w:rsidRPr="000845B3">
        <w:rPr>
          <w:color w:val="000000"/>
          <w:sz w:val="28"/>
          <w:szCs w:val="28"/>
        </w:rPr>
        <w:t xml:space="preserve"> </w:t>
      </w:r>
      <w:proofErr w:type="spellStart"/>
      <w:r w:rsidRPr="000845B3">
        <w:rPr>
          <w:color w:val="000000"/>
          <w:sz w:val="28"/>
          <w:szCs w:val="28"/>
        </w:rPr>
        <w:t>брендів</w:t>
      </w:r>
      <w:proofErr w:type="spellEnd"/>
      <w:r w:rsidRPr="000845B3">
        <w:rPr>
          <w:color w:val="000000"/>
          <w:sz w:val="28"/>
          <w:szCs w:val="28"/>
        </w:rPr>
        <w:t xml:space="preserve">. </w:t>
      </w:r>
    </w:p>
    <w:p w14:paraId="7298A7E1" w14:textId="293D59A1" w:rsidR="009F38F3" w:rsidRPr="000845B3" w:rsidRDefault="000845B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  <w:lang w:val="uk-UA"/>
        </w:rPr>
        <w:t>Поясніть сутність дослідження конкурентного середовища у бренд-менеджменті підприємства.</w:t>
      </w:r>
    </w:p>
    <w:p w14:paraId="31A43567" w14:textId="7D8DCDA8" w:rsidR="000845B3" w:rsidRPr="000845B3" w:rsidRDefault="000845B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  <w:lang w:val="uk-UA"/>
        </w:rPr>
        <w:t>Поняття піару, визначення та їх сутність.</w:t>
      </w:r>
    </w:p>
    <w:p w14:paraId="241E3C37" w14:textId="462C91A1" w:rsidR="000845B3" w:rsidRPr="000845B3" w:rsidRDefault="000845B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845B3">
        <w:rPr>
          <w:color w:val="000000"/>
          <w:sz w:val="28"/>
          <w:szCs w:val="28"/>
          <w:lang w:val="uk-UA"/>
        </w:rPr>
        <w:t>Паблісіті</w:t>
      </w:r>
      <w:proofErr w:type="spellEnd"/>
      <w:r w:rsidRPr="000845B3">
        <w:rPr>
          <w:color w:val="000000"/>
          <w:sz w:val="28"/>
          <w:szCs w:val="28"/>
          <w:lang w:val="uk-UA"/>
        </w:rPr>
        <w:t xml:space="preserve">, реклама і PR. </w:t>
      </w:r>
    </w:p>
    <w:p w14:paraId="578F5AC2" w14:textId="36DBB411" w:rsidR="009F38F3" w:rsidRPr="000845B3" w:rsidRDefault="000845B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  <w:lang w:val="uk-UA"/>
        </w:rPr>
        <w:t>Відмінності PR від пропаганди та реклами.</w:t>
      </w:r>
    </w:p>
    <w:p w14:paraId="2597CB97" w14:textId="623D3F9B" w:rsidR="000845B3" w:rsidRPr="000845B3" w:rsidRDefault="000845B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  <w:lang w:val="uk-UA"/>
        </w:rPr>
        <w:t>Комунікаційне управління брендом.</w:t>
      </w:r>
    </w:p>
    <w:p w14:paraId="62BDFD97" w14:textId="35FF5B75" w:rsidR="000845B3" w:rsidRPr="00DC64B1" w:rsidRDefault="000845B3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0845B3">
        <w:rPr>
          <w:color w:val="000000"/>
          <w:sz w:val="28"/>
          <w:szCs w:val="28"/>
          <w:lang w:val="uk-UA"/>
        </w:rPr>
        <w:t>«Чорний PR»: методи атаки та методи захисту.</w:t>
      </w:r>
    </w:p>
    <w:p w14:paraId="46F54944" w14:textId="5B2CE3B6" w:rsidR="00DC64B1" w:rsidRPr="00DC64B1" w:rsidRDefault="00DC64B1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DC64B1">
        <w:rPr>
          <w:color w:val="000000"/>
          <w:sz w:val="28"/>
          <w:szCs w:val="28"/>
          <w:lang w:val="uk-UA"/>
        </w:rPr>
        <w:t xml:space="preserve">Поняття, умови, цілі PR-стратегії для </w:t>
      </w:r>
      <w:r>
        <w:rPr>
          <w:color w:val="000000"/>
          <w:sz w:val="28"/>
          <w:szCs w:val="28"/>
          <w:lang w:val="uk-UA"/>
        </w:rPr>
        <w:t>підприємств туристичної галузі й індустрії гостинності.</w:t>
      </w:r>
      <w:r w:rsidRPr="00DC64B1">
        <w:rPr>
          <w:color w:val="000000"/>
          <w:sz w:val="28"/>
          <w:szCs w:val="28"/>
          <w:lang w:val="uk-UA"/>
        </w:rPr>
        <w:t xml:space="preserve"> </w:t>
      </w:r>
    </w:p>
    <w:p w14:paraId="20645FF6" w14:textId="4E96474F" w:rsidR="00DC64B1" w:rsidRPr="00DC64B1" w:rsidRDefault="00DC64B1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DC64B1">
        <w:rPr>
          <w:color w:val="000000"/>
          <w:sz w:val="28"/>
          <w:szCs w:val="28"/>
          <w:lang w:val="uk-UA"/>
        </w:rPr>
        <w:t>Планування PR-кампанії туристичного підприємства</w:t>
      </w:r>
      <w:r>
        <w:rPr>
          <w:color w:val="000000"/>
          <w:sz w:val="28"/>
          <w:szCs w:val="28"/>
          <w:lang w:val="uk-UA"/>
        </w:rPr>
        <w:t xml:space="preserve"> (підприємства гостинності).</w:t>
      </w:r>
    </w:p>
    <w:p w14:paraId="763A8A5F" w14:textId="2208B87C" w:rsidR="00DC64B1" w:rsidRPr="00BD1B26" w:rsidRDefault="006D4522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Мета та завдання </w:t>
      </w:r>
      <w:r w:rsidR="00BD1B26">
        <w:rPr>
          <w:color w:val="000000"/>
          <w:sz w:val="28"/>
          <w:szCs w:val="28"/>
          <w:lang w:val="en-US"/>
        </w:rPr>
        <w:t>PR</w:t>
      </w:r>
      <w:r w:rsidR="00BD1B26">
        <w:rPr>
          <w:color w:val="000000"/>
          <w:sz w:val="28"/>
          <w:szCs w:val="28"/>
          <w:lang w:val="uk-UA"/>
        </w:rPr>
        <w:t>.</w:t>
      </w:r>
    </w:p>
    <w:p w14:paraId="439A2E89" w14:textId="05802303" w:rsidR="00BD1B26" w:rsidRPr="000845B3" w:rsidRDefault="00BD1B26" w:rsidP="000845B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3" w:hanging="357"/>
        <w:jc w:val="both"/>
        <w:textAlignment w:val="baseline"/>
        <w:rPr>
          <w:color w:val="000000"/>
          <w:sz w:val="28"/>
          <w:szCs w:val="28"/>
        </w:rPr>
      </w:pPr>
      <w:r w:rsidRPr="00BD1B26">
        <w:rPr>
          <w:color w:val="000000"/>
          <w:sz w:val="28"/>
          <w:szCs w:val="28"/>
          <w:lang w:val="uk-UA"/>
        </w:rPr>
        <w:t>Внутрішній і зовнішній PR</w:t>
      </w:r>
      <w:r>
        <w:rPr>
          <w:color w:val="000000"/>
          <w:sz w:val="28"/>
          <w:szCs w:val="28"/>
          <w:lang w:val="uk-UA"/>
        </w:rPr>
        <w:t>.</w:t>
      </w:r>
    </w:p>
    <w:p w14:paraId="5E4ABF46" w14:textId="5F63B875" w:rsidR="009F38F3" w:rsidRPr="009F38F3" w:rsidRDefault="009F38F3" w:rsidP="00DC6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F38F3" w:rsidRPr="009F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805"/>
    <w:multiLevelType w:val="hybridMultilevel"/>
    <w:tmpl w:val="FC3E58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6DE8"/>
    <w:multiLevelType w:val="multilevel"/>
    <w:tmpl w:val="42E2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14408"/>
    <w:multiLevelType w:val="multilevel"/>
    <w:tmpl w:val="6884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81BF6"/>
    <w:multiLevelType w:val="hybridMultilevel"/>
    <w:tmpl w:val="9FEA6BB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7C19E4"/>
    <w:multiLevelType w:val="multilevel"/>
    <w:tmpl w:val="DF9A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3"/>
    <w:rsid w:val="000845B3"/>
    <w:rsid w:val="00371583"/>
    <w:rsid w:val="006D4522"/>
    <w:rsid w:val="009F38F3"/>
    <w:rsid w:val="00BD1B26"/>
    <w:rsid w:val="00D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07E6"/>
  <w15:chartTrackingRefBased/>
  <w15:docId w15:val="{F29B7493-9ED6-4389-A761-40D827A4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Сидорук</dc:creator>
  <cp:keywords/>
  <dc:description/>
  <cp:lastModifiedBy>Анна Сидорук</cp:lastModifiedBy>
  <cp:revision>1</cp:revision>
  <dcterms:created xsi:type="dcterms:W3CDTF">2021-11-16T11:15:00Z</dcterms:created>
  <dcterms:modified xsi:type="dcterms:W3CDTF">2021-11-16T11:38:00Z</dcterms:modified>
</cp:coreProperties>
</file>