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Лабораторне заняття № 5</w:t>
      </w:r>
    </w:p>
    <w:p>
      <w:pPr>
        <w:pStyle w:val="Normal"/>
        <w:spacing w:lineRule="auto" w:line="240" w:before="0" w:after="0"/>
        <w:jc w:val="center"/>
        <w:rPr/>
      </w:pPr>
      <w:r>
        <w:rPr>
          <w:rFonts w:cs="Times New Roman" w:ascii="Times New Roman" w:hAnsi="Times New Roman"/>
          <w:b/>
          <w:sz w:val="24"/>
          <w:szCs w:val="24"/>
          <w:lang w:val="uk-UA"/>
        </w:rPr>
        <w:t>Тема: Сполуки з глікозидним зв'язком. Полісахариди. Глікозиди</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b/>
          <w:i/>
          <w:sz w:val="24"/>
          <w:szCs w:val="24"/>
          <w:lang w:val="uk-UA"/>
        </w:rPr>
        <w:t>Мета заняття:</w:t>
      </w:r>
      <w:r>
        <w:rPr>
          <w:rFonts w:cs="Times New Roman" w:ascii="Times New Roman" w:hAnsi="Times New Roman"/>
          <w:sz w:val="24"/>
          <w:szCs w:val="24"/>
          <w:lang w:val="uk-UA"/>
        </w:rPr>
        <w:t xml:space="preserve"> навчитися ідентифікувати глікозиди в свіжій та висушеній рослинній сировині.</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Питання для самопідготовки:</w:t>
      </w:r>
    </w:p>
    <w:p>
      <w:pPr>
        <w:pStyle w:val="Normal"/>
        <w:spacing w:lineRule="auto" w:line="240" w:before="0" w:after="0"/>
        <w:jc w:val="both"/>
        <w:rPr/>
      </w:pPr>
      <w:r>
        <w:rPr>
          <w:rFonts w:cs="Times New Roman" w:ascii="Times New Roman" w:hAnsi="Times New Roman"/>
          <w:sz w:val="24"/>
          <w:szCs w:val="24"/>
          <w:lang w:val="uk-UA"/>
        </w:rPr>
        <w:t>1. Комплекси БАР з вуглеводами. Полісахариди</w:t>
      </w:r>
      <w:r>
        <w:rPr>
          <w:rFonts w:cs="Times New Roman" w:ascii="Times New Roman" w:hAnsi="Times New Roman"/>
          <w:sz w:val="24"/>
          <w:szCs w:val="24"/>
          <w:lang w:val="ru-RU"/>
        </w:rPr>
        <w:t>.</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 Глікозиди, визначення та класифікація.</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3. Фізико-хімічні властивості глікозидів.</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4. Методи якісного та кількісного аналізу глікозидів у рослинній сировині.</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5. Розповсюдження в рослинному світі. Біогенез.</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6. Біологічна дія, представники. Рослини, які містять ці сполуки. Біологічні властивості та застосування в медицині.</w:t>
      </w:r>
    </w:p>
    <w:p>
      <w:pPr>
        <w:pStyle w:val="Normal"/>
        <w:spacing w:lineRule="auto" w:line="240" w:before="0" w:after="0"/>
        <w:jc w:val="both"/>
        <w:rPr/>
      </w:pPr>
      <w:r>
        <w:rPr>
          <w:rFonts w:cs="Times New Roman" w:ascii="Times New Roman" w:hAnsi="Times New Roman"/>
          <w:sz w:val="24"/>
          <w:szCs w:val="24"/>
          <w:lang w:val="uk-UA"/>
        </w:rPr>
        <w:t>7. Біологічна дія сірковмісних та ціаногенних глікозидів.</w:t>
      </w:r>
    </w:p>
    <w:p>
      <w:pPr>
        <w:pStyle w:val="Normal"/>
        <w:spacing w:lineRule="auto" w:line="240" w:before="0" w:after="0"/>
        <w:jc w:val="both"/>
        <w:rPr>
          <w:b/>
          <w:b/>
          <w:bCs/>
          <w:i/>
          <w:i/>
          <w:iCs/>
        </w:rPr>
      </w:pPr>
      <w:r>
        <w:rPr>
          <w:rFonts w:cs="Times New Roman" w:ascii="Times New Roman" w:hAnsi="Times New Roman"/>
          <w:b/>
          <w:bCs/>
          <w:i/>
          <w:iCs/>
          <w:sz w:val="24"/>
          <w:szCs w:val="24"/>
          <w:lang w:val="uk-UA"/>
        </w:rPr>
        <w:t>Теоретична довідка:</w:t>
      </w:r>
    </w:p>
    <w:p>
      <w:pPr>
        <w:pStyle w:val="Normal"/>
        <w:spacing w:lineRule="auto" w:line="240" w:before="0" w:after="0"/>
        <w:jc w:val="both"/>
        <w:rPr>
          <w:b/>
          <w:b/>
          <w:bCs/>
          <w:i/>
          <w:i/>
          <w:iCs/>
        </w:rPr>
      </w:pPr>
      <w:r>
        <w:rPr>
          <w:rFonts w:cs="Times New Roman" w:ascii="Times New Roman" w:hAnsi="Times New Roman"/>
          <w:b/>
          <w:bCs/>
          <w:i/>
          <w:iCs/>
          <w:sz w:val="24"/>
          <w:szCs w:val="24"/>
          <w:lang w:val="uk-UA"/>
        </w:rPr>
        <w:t>Полісахариди (C</w:t>
      </w:r>
      <w:r>
        <w:rPr>
          <w:rFonts w:cs="Times New Roman" w:ascii="Times New Roman" w:hAnsi="Times New Roman"/>
          <w:b/>
          <w:bCs/>
          <w:i/>
          <w:iCs/>
          <w:sz w:val="24"/>
          <w:szCs w:val="24"/>
          <w:vertAlign w:val="subscript"/>
          <w:lang w:val="uk-UA"/>
        </w:rPr>
        <w:t>n</w:t>
      </w:r>
      <w:r>
        <w:rPr>
          <w:rFonts w:cs="Times New Roman" w:ascii="Times New Roman" w:hAnsi="Times New Roman"/>
          <w:b/>
          <w:bCs/>
          <w:i/>
          <w:iCs/>
          <w:sz w:val="24"/>
          <w:szCs w:val="24"/>
          <w:lang w:val="uk-UA"/>
        </w:rPr>
        <w:t>H</w:t>
      </w:r>
      <w:r>
        <w:rPr>
          <w:rFonts w:cs="Times New Roman" w:ascii="Times New Roman" w:hAnsi="Times New Roman"/>
          <w:b/>
          <w:bCs/>
          <w:i/>
          <w:iCs/>
          <w:sz w:val="24"/>
          <w:szCs w:val="24"/>
          <w:vertAlign w:val="subscript"/>
          <w:lang w:val="uk-UA"/>
        </w:rPr>
        <w:t>2n-2</w:t>
      </w:r>
      <w:r>
        <w:rPr>
          <w:rFonts w:cs="Times New Roman" w:ascii="Times New Roman" w:hAnsi="Times New Roman"/>
          <w:b/>
          <w:bCs/>
          <w:i/>
          <w:iCs/>
          <w:sz w:val="24"/>
          <w:szCs w:val="24"/>
          <w:lang w:val="uk-UA"/>
        </w:rPr>
        <w:t>O</w:t>
      </w:r>
      <w:r>
        <w:rPr>
          <w:rFonts w:cs="Times New Roman" w:ascii="Times New Roman" w:hAnsi="Times New Roman"/>
          <w:b/>
          <w:bCs/>
          <w:i/>
          <w:iCs/>
          <w:sz w:val="24"/>
          <w:szCs w:val="24"/>
          <w:vertAlign w:val="subscript"/>
          <w:lang w:val="uk-UA"/>
        </w:rPr>
        <w:t>n-1</w:t>
      </w:r>
      <w:r>
        <w:rPr>
          <w:rFonts w:cs="Times New Roman" w:ascii="Times New Roman" w:hAnsi="Times New Roman"/>
          <w:b/>
          <w:bCs/>
          <w:i/>
          <w:iCs/>
          <w:sz w:val="24"/>
          <w:szCs w:val="24"/>
          <w:lang w:val="uk-UA"/>
        </w:rPr>
        <w:t>)</w:t>
      </w:r>
      <w:r>
        <w:rPr>
          <w:rFonts w:cs="Times New Roman" w:ascii="Times New Roman" w:hAnsi="Times New Roman"/>
          <w:b/>
          <w:bCs/>
          <w:i/>
          <w:iCs/>
          <w:sz w:val="24"/>
          <w:szCs w:val="24"/>
          <w:vertAlign w:val="subscript"/>
          <w:lang w:val="uk-UA"/>
        </w:rPr>
        <w:t>m</w:t>
      </w:r>
      <w:r>
        <w:rPr>
          <w:rFonts w:cs="Times New Roman" w:ascii="Times New Roman" w:hAnsi="Times New Roman"/>
          <w:b/>
          <w:bCs/>
          <w:i/>
          <w:iCs/>
          <w:sz w:val="24"/>
          <w:szCs w:val="24"/>
          <w:lang w:val="uk-UA"/>
        </w:rPr>
        <w:t xml:space="preserve"> або глікани </w:t>
      </w:r>
      <w:r>
        <w:rPr>
          <w:rFonts w:cs="Times New Roman" w:ascii="Times New Roman" w:hAnsi="Times New Roman"/>
          <w:b w:val="false"/>
          <w:bCs w:val="false"/>
          <w:i w:val="false"/>
          <w:iCs w:val="false"/>
          <w:sz w:val="22"/>
          <w:szCs w:val="22"/>
          <w:lang w:val="uk-UA"/>
        </w:rPr>
        <w:t xml:space="preserve">— природні полімерні високомолекулярні вуглеводи, побудовані з моносахаридів, з’єднані глікозидними зв’язками і утворюють лінійні або розгалужені ланцюги. Полісахариди поділяють на гомополісахариди, що побудовані з одного сахару, і гетерополісахариди, до складу яких входять залишки різних моносахаридів (від двох до шести). Найпоширеніші з рослинних полісахаридів: гексози — глюкоза, галактоза, маноза, галактуронова кислота; пентози — арабіноза, ксилоза; поширені також дезоксигексози — рамноза, фруктоза; 2-аміносахари — глюкозамін, галактозамін. Багато поліолів мають замінники невуглеводної природи — залишки сірчаної або фосфорної, органічних кислот, найчастіше оцтової. Полісахариди можуть з’єднуватися ковалентними зв’язками з природними полімерами інших видів. Такі речовини називають змішаними полісахаридами. Крім вуглеводневої частини вони мають білковий або ліпідний компонент, наприклад, нуклеїнові кислоти і глікопротеїни, що містять поліглікозидні та поліпептидніланцюги, ліпополісахариди, які побудовані з компонентів вуглеводневої і ліпідної природи, тощо. Назва полісахариду походить від назви відповідного моносахариду із зміною суфіксу -оза на -ан. Наприклад, полісахарид, який побудований із залишків D-манози, має назву D-манан; із залишків D-галактози і D-манози,— D-галакто-D-манан. Систематичної хімічної номенклатури полісахаридів досі немає. На цей час більшість притримується класифікації, що базується на хімічному складі і будові полісахаридів. Глікани поділяються на групи відповідно до хімічного складу і будови основного нерозгалуженого, найбільш довгого ланцюга. Якщо макромолекула містить великі ланцюги невуглеводневої будови (білковий, ліпідний та ін.), то відповідні сполуки виділяються в окрему групу (схема). Традиційно біологічно активні поліози класифікують за їх фізичними властивостями на камеді, слизи і пектинові речовини без урахування хімічної структури. Деякі полісахариди, крім того, мають тривіальні назви: гомоглікани — клітковина, крохмаль, амілоза, інулін, хітин; гетероглікани — хондріотин, пектин, гепарин тощо. Поліуронідами називають полісахариди, що побудовані з залишків уронових кислот, геміцелюлозами — полісахариди, що супроводжують целюлозу; мукополісахариди побудовані із залишків аміносахарів і уронових кислот тощо. </w:t>
      </w:r>
    </w:p>
    <w:p>
      <w:pPr>
        <w:pStyle w:val="Normal"/>
        <w:spacing w:lineRule="auto" w:line="240" w:before="0" w:after="0"/>
        <w:jc w:val="both"/>
        <w:rPr>
          <w:rFonts w:ascii="Times New Roman" w:hAnsi="Times New Roman" w:cs="Times New Roman"/>
          <w:b w:val="false"/>
          <w:b w:val="false"/>
          <w:bCs w:val="false"/>
          <w:i w:val="false"/>
          <w:i w:val="false"/>
          <w:iCs w:val="false"/>
          <w:sz w:val="22"/>
          <w:szCs w:val="22"/>
          <w:lang w:val="uk-UA"/>
        </w:rPr>
      </w:pPr>
      <w:r>
        <w:rPr>
          <w:rFonts w:cs="Times New Roman" w:ascii="Times New Roman" w:hAnsi="Times New Roman"/>
          <w:b w:val="false"/>
          <w:bCs w:val="false"/>
          <w:i w:val="false"/>
          <w:iCs w:val="false"/>
          <w:sz w:val="22"/>
          <w:szCs w:val="22"/>
          <w:lang w:val="uk-UA"/>
        </w:rPr>
        <w:drawing>
          <wp:anchor behindDoc="0" distT="0" distB="0" distL="0" distR="0" simplePos="0" locked="0" layoutInCell="1" allowOverlap="1" relativeHeight="2">
            <wp:simplePos x="0" y="0"/>
            <wp:positionH relativeFrom="column">
              <wp:posOffset>499110</wp:posOffset>
            </wp:positionH>
            <wp:positionV relativeFrom="paragraph">
              <wp:posOffset>36195</wp:posOffset>
            </wp:positionV>
            <wp:extent cx="4990465" cy="25044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1567" t="24945" r="28307" b="36269"/>
                    <a:stretch>
                      <a:fillRect/>
                    </a:stretch>
                  </pic:blipFill>
                  <pic:spPr bwMode="auto">
                    <a:xfrm>
                      <a:off x="0" y="0"/>
                      <a:ext cx="4990465" cy="2504440"/>
                    </a:xfrm>
                    <a:prstGeom prst="rect">
                      <a:avLst/>
                    </a:prstGeom>
                  </pic:spPr>
                </pic:pic>
              </a:graphicData>
            </a:graphic>
          </wp:anchor>
        </w:drawing>
      </w:r>
    </w:p>
    <w:p>
      <w:pPr>
        <w:pStyle w:val="Normal"/>
        <w:spacing w:lineRule="auto" w:line="240" w:before="0" w:after="0"/>
        <w:jc w:val="both"/>
        <w:rPr>
          <w:rFonts w:ascii="Times New Roman" w:hAnsi="Times New Roman" w:cs="Times New Roman"/>
          <w:b w:val="false"/>
          <w:b w:val="false"/>
          <w:bCs w:val="false"/>
          <w:i w:val="false"/>
          <w:i w:val="false"/>
          <w:iCs w:val="false"/>
          <w:sz w:val="22"/>
          <w:szCs w:val="22"/>
          <w:lang w:val="uk-UA"/>
        </w:rPr>
      </w:pPr>
      <w:r>
        <w:rPr>
          <w:rFonts w:cs="Times New Roman" w:ascii="Times New Roman" w:hAnsi="Times New Roman"/>
          <w:b w:val="false"/>
          <w:bCs w:val="false"/>
          <w:i w:val="false"/>
          <w:iCs w:val="false"/>
          <w:sz w:val="22"/>
          <w:szCs w:val="22"/>
          <w:lang w:val="uk-UA"/>
        </w:rPr>
      </w:r>
    </w:p>
    <w:p>
      <w:pPr>
        <w:pStyle w:val="Normal"/>
        <w:spacing w:lineRule="auto" w:line="240" w:before="0" w:after="0"/>
        <w:jc w:val="both"/>
        <w:rPr>
          <w:rFonts w:ascii="Times New Roman" w:hAnsi="Times New Roman" w:cs="Times New Roman"/>
          <w:b w:val="false"/>
          <w:b w:val="false"/>
          <w:bCs w:val="false"/>
          <w:i w:val="false"/>
          <w:i w:val="false"/>
          <w:iCs w:val="false"/>
          <w:sz w:val="22"/>
          <w:szCs w:val="22"/>
          <w:lang w:val="uk-UA"/>
        </w:rPr>
      </w:pPr>
      <w:r>
        <w:rPr>
          <w:rFonts w:cs="Times New Roman" w:ascii="Times New Roman" w:hAnsi="Times New Roman"/>
          <w:b w:val="false"/>
          <w:bCs w:val="false"/>
          <w:i w:val="false"/>
          <w:iCs w:val="false"/>
          <w:sz w:val="22"/>
          <w:szCs w:val="22"/>
          <w:lang w:val="uk-UA"/>
        </w:rPr>
      </w:r>
    </w:p>
    <w:p>
      <w:pPr>
        <w:pStyle w:val="Normal"/>
        <w:spacing w:lineRule="auto" w:line="240" w:before="0" w:after="0"/>
        <w:jc w:val="both"/>
        <w:rPr>
          <w:rFonts w:ascii="Times New Roman" w:hAnsi="Times New Roman" w:cs="Times New Roman"/>
          <w:b w:val="false"/>
          <w:b w:val="false"/>
          <w:bCs w:val="false"/>
          <w:i w:val="false"/>
          <w:i w:val="false"/>
          <w:iCs w:val="false"/>
          <w:sz w:val="22"/>
          <w:szCs w:val="22"/>
          <w:lang w:val="uk-UA"/>
        </w:rPr>
      </w:pPr>
      <w:r>
        <w:rPr>
          <w:rFonts w:cs="Times New Roman" w:ascii="Times New Roman" w:hAnsi="Times New Roman"/>
          <w:b w:val="false"/>
          <w:bCs w:val="false"/>
          <w:i w:val="false"/>
          <w:iCs w:val="false"/>
          <w:sz w:val="22"/>
          <w:szCs w:val="22"/>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bidi w:val="0"/>
        <w:spacing w:lineRule="auto" w:line="240" w:before="0" w:after="0"/>
        <w:ind w:left="0" w:right="0" w:firstLine="567"/>
        <w:jc w:val="both"/>
        <w:rPr>
          <w:rFonts w:ascii="Times New Roman" w:hAnsi="Times New Roman" w:cs="Times New Roman"/>
          <w:b w:val="false"/>
          <w:b w:val="false"/>
          <w:bCs w:val="false"/>
          <w:sz w:val="22"/>
          <w:szCs w:val="22"/>
          <w:lang w:val="uk-UA"/>
        </w:rPr>
      </w:pPr>
      <w:r>
        <w:rPr/>
      </w:r>
    </w:p>
    <w:p>
      <w:pPr>
        <w:pStyle w:val="Normal"/>
        <w:widowControl/>
        <w:bidi w:val="0"/>
        <w:spacing w:lineRule="auto" w:line="240" w:before="0" w:after="0"/>
        <w:ind w:left="0" w:right="0" w:firstLine="567"/>
        <w:jc w:val="both"/>
        <w:rPr>
          <w:b w:val="false"/>
          <w:b w:val="false"/>
          <w:bCs w:val="false"/>
          <w:sz w:val="22"/>
          <w:szCs w:val="22"/>
        </w:rPr>
      </w:pPr>
      <w:r>
        <w:rPr>
          <w:rFonts w:cs="Times New Roman" w:ascii="Times New Roman" w:hAnsi="Times New Roman"/>
          <w:b w:val="false"/>
          <w:bCs w:val="false"/>
          <w:sz w:val="22"/>
          <w:szCs w:val="22"/>
          <w:lang w:val="uk-UA"/>
        </w:rPr>
        <w:t>З лікувальною метою використовують рослинні полісахариди (крохмал, інулін, агар, карагінан), витяжки з ЛРС, багатої полісахаридами (слиз кореню алтеї), комплексні препарати з деяких вищих рослин та водоростей (плантаглюцид, мукалтин, ламінарид).</w:t>
      </w:r>
    </w:p>
    <w:p>
      <w:pPr>
        <w:pStyle w:val="Normal"/>
        <w:widowControl/>
        <w:bidi w:val="0"/>
        <w:spacing w:lineRule="auto" w:line="240" w:before="0" w:after="0"/>
        <w:ind w:left="0" w:right="0" w:firstLine="567"/>
        <w:jc w:val="both"/>
        <w:rPr>
          <w:b w:val="false"/>
          <w:b w:val="false"/>
          <w:bCs w:val="false"/>
          <w:sz w:val="22"/>
          <w:szCs w:val="22"/>
        </w:rPr>
      </w:pPr>
      <w:r>
        <w:rPr>
          <w:rFonts w:cs="Times New Roman" w:ascii="Times New Roman" w:hAnsi="Times New Roman"/>
          <w:b/>
          <w:bCs w:val="false"/>
          <w:sz w:val="22"/>
          <w:szCs w:val="22"/>
          <w:lang w:val="uk-UA"/>
        </w:rPr>
        <w:t xml:space="preserve">Глікозиди — </w:t>
      </w:r>
      <w:r>
        <w:rPr>
          <w:rFonts w:cs="Times New Roman" w:ascii="Times New Roman" w:hAnsi="Times New Roman"/>
          <w:b w:val="false"/>
          <w:bCs w:val="false"/>
          <w:sz w:val="22"/>
          <w:szCs w:val="22"/>
          <w:lang w:val="uk-UA"/>
        </w:rPr>
        <w:t>поширена форма природних органічних сполук, молекули яких складаються з сахарної (глікон) та несахарної (аглікон, або генін) частин, що з’єднані між собою через гетероатом кисню, азоту, сірки чи вуглецю. Назва сполук походить від грецьк. «glykys» — солодкий і «eidos» — вигляд, що вказує на присутність сахару в молекулі глікозиду.</w:t>
      </w:r>
    </w:p>
    <w:p>
      <w:pPr>
        <w:pStyle w:val="Normal"/>
        <w:widowControl/>
        <w:bidi w:val="0"/>
        <w:spacing w:lineRule="auto" w:line="240" w:before="0" w:after="0"/>
        <w:ind w:left="0" w:right="0" w:firstLine="567"/>
        <w:jc w:val="both"/>
        <w:rPr>
          <w:b w:val="false"/>
          <w:b w:val="false"/>
          <w:bCs w:val="false"/>
          <w:sz w:val="22"/>
          <w:szCs w:val="22"/>
        </w:rPr>
      </w:pPr>
      <w:r>
        <w:rPr>
          <w:rFonts w:cs="Times New Roman" w:ascii="Times New Roman" w:hAnsi="Times New Roman"/>
          <w:b w:val="false"/>
          <w:bCs w:val="false"/>
          <w:sz w:val="22"/>
          <w:szCs w:val="22"/>
          <w:lang w:val="uk-UA"/>
        </w:rPr>
        <w:t xml:space="preserve">Різноманітність глікозидів залежить від типу зв’язку між агліконом і сахаром, від структури глікону та природи геніну. Все це відображено у системах їх класифікації. Класифікація за типом зв’язку. Напівацетальний (глікозидний) гідроксил циклічної форми моносахариду різко відрізняється від інших гідроксильних груп значною схильністю до реакцій нуклеофільного заміщення. Такі реакції за участю ферментів глікозилтрансфераз призводять до утворення своєрідних простих ефірів, які називаються глікозидами. Якщо протон Н+ аномерного гідроксилу замінюється на фенольний або спиртовий радикал (R), виникають О-глікозиди. Якщо сахара взаємодіють з амінами, то утворюються N-глікозиди. З меркаптанами отримуємо S-глікозиди (тіоглікозиди, або глікозинолати). У випадку, коли вуглець сахару безпосередньо приєднуєтьсядо вуглецю аглікону, утворюються С-глікозиди. </w:t>
      </w:r>
    </w:p>
    <w:p>
      <w:pPr>
        <w:pStyle w:val="Normal"/>
        <w:spacing w:lineRule="auto" w:line="240" w:before="0" w:after="0"/>
        <w:jc w:val="both"/>
        <w:rPr>
          <w:rFonts w:ascii="Times New Roman" w:hAnsi="Times New Roman" w:cs="Times New Roman"/>
          <w:b w:val="false"/>
          <w:b w:val="false"/>
          <w:bCs w:val="false"/>
          <w:sz w:val="24"/>
          <w:szCs w:val="24"/>
          <w:lang w:val="uk-UA"/>
        </w:rPr>
      </w:pPr>
      <w:r>
        <w:rPr>
          <w:rFonts w:cs="Times New Roman" w:ascii="Times New Roman" w:hAnsi="Times New Roman"/>
          <w:b w:val="false"/>
          <w:bCs w:val="false"/>
          <w:sz w:val="24"/>
          <w:szCs w:val="24"/>
          <w:lang w:val="uk-UA"/>
        </w:rPr>
        <w:drawing>
          <wp:anchor behindDoc="0" distT="0" distB="0" distL="0" distR="0" simplePos="0" locked="0" layoutInCell="1" allowOverlap="1" relativeHeight="3">
            <wp:simplePos x="0" y="0"/>
            <wp:positionH relativeFrom="column">
              <wp:posOffset>1188720</wp:posOffset>
            </wp:positionH>
            <wp:positionV relativeFrom="paragraph">
              <wp:posOffset>83185</wp:posOffset>
            </wp:positionV>
            <wp:extent cx="4410710" cy="1043940"/>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27939" t="31338" r="26597" b="49542"/>
                    <a:stretch>
                      <a:fillRect/>
                    </a:stretch>
                  </pic:blipFill>
                  <pic:spPr bwMode="auto">
                    <a:xfrm>
                      <a:off x="0" y="0"/>
                      <a:ext cx="4410710" cy="1043940"/>
                    </a:xfrm>
                    <a:prstGeom prst="rect">
                      <a:avLst/>
                    </a:prstGeom>
                  </pic:spPr>
                </pic:pic>
              </a:graphicData>
            </a:graphic>
          </wp:anchor>
        </w:drawing>
      </w:r>
    </w:p>
    <w:p>
      <w:pPr>
        <w:pStyle w:val="Normal"/>
        <w:spacing w:lineRule="auto" w:line="240" w:before="0" w:after="0"/>
        <w:jc w:val="both"/>
        <w:rPr>
          <w:rFonts w:ascii="Times New Roman" w:hAnsi="Times New Roman" w:cs="Times New Roman"/>
          <w:b/>
          <w:b/>
          <w:bCs w:val="false"/>
          <w:sz w:val="24"/>
          <w:szCs w:val="24"/>
          <w:lang w:val="uk-UA"/>
        </w:rPr>
      </w:pPr>
      <w:r>
        <w:rPr>
          <w:rFonts w:cs="Times New Roman" w:ascii="Times New Roman" w:hAnsi="Times New Roman"/>
          <w:b/>
          <w:bCs w:val="false"/>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both"/>
        <w:rPr/>
      </w:pPr>
      <w:r>
        <w:rPr>
          <w:rFonts w:cs="Times New Roman" w:ascii="Times New Roman" w:hAnsi="Times New Roman"/>
          <w:b w:val="false"/>
          <w:bCs w:val="false"/>
          <w:sz w:val="22"/>
          <w:szCs w:val="22"/>
          <w:lang w:val="uk-UA"/>
        </w:rPr>
        <w:t>Відомі глікозиди, в яких один сахар приєднаний до агліконуглікозидним О-зв’язком, а другий — безпосередньо до вуглецюаглікону. Такі глікозиди називають О-Сглікозидами. Найбільш поширені О-глікозиди. С-глікозиди досліджені тільки для флавоноїдів і ксантонів з рослин, які відносяться до родин Rosaceae, Crassulaceae, Fabaceae, Saxifragaceae.</w:t>
      </w:r>
    </w:p>
    <w:p>
      <w:pPr>
        <w:pStyle w:val="Normal"/>
        <w:spacing w:lineRule="auto" w:line="240" w:before="0" w:after="0"/>
        <w:jc w:val="both"/>
        <w:rPr>
          <w:rFonts w:ascii="Times New Roman" w:hAnsi="Times New Roman" w:cs="Times New Roman"/>
          <w:b w:val="false"/>
          <w:b w:val="false"/>
          <w:bCs w:val="false"/>
          <w:sz w:val="22"/>
          <w:szCs w:val="22"/>
          <w:lang w:val="uk-UA"/>
        </w:rPr>
      </w:pPr>
      <w:r>
        <w:rPr>
          <w:rFonts w:cs="Times New Roman" w:ascii="Times New Roman" w:hAnsi="Times New Roman"/>
          <w:b w:val="false"/>
          <w:bCs w:val="false"/>
          <w:sz w:val="22"/>
          <w:szCs w:val="22"/>
          <w:lang w:val="uk-UA"/>
        </w:rPr>
        <w:drawing>
          <wp:anchor behindDoc="0" distT="0" distB="0" distL="0" distR="0" simplePos="0" locked="0" layoutInCell="1" allowOverlap="1" relativeHeight="4">
            <wp:simplePos x="0" y="0"/>
            <wp:positionH relativeFrom="column">
              <wp:posOffset>682625</wp:posOffset>
            </wp:positionH>
            <wp:positionV relativeFrom="paragraph">
              <wp:posOffset>106680</wp:posOffset>
            </wp:positionV>
            <wp:extent cx="5165725" cy="1788795"/>
            <wp:effectExtent l="0" t="0" r="0" b="0"/>
            <wp:wrapSquare wrapText="larges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rcRect l="27189" t="35093" r="25435" b="34296"/>
                    <a:stretch>
                      <a:fillRect/>
                    </a:stretch>
                  </pic:blipFill>
                  <pic:spPr bwMode="auto">
                    <a:xfrm>
                      <a:off x="0" y="0"/>
                      <a:ext cx="5165725" cy="1788795"/>
                    </a:xfrm>
                    <a:prstGeom prst="rect">
                      <a:avLst/>
                    </a:prstGeom>
                  </pic:spPr>
                </pic:pic>
              </a:graphicData>
            </a:graphic>
          </wp:anchor>
        </w:drawing>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both"/>
        <w:rPr>
          <w:b w:val="false"/>
          <w:b w:val="false"/>
          <w:bCs w:val="false"/>
          <w:sz w:val="22"/>
          <w:szCs w:val="22"/>
        </w:rPr>
      </w:pPr>
      <w:r>
        <w:rPr>
          <w:rFonts w:cs="Times New Roman" w:ascii="Times New Roman" w:hAnsi="Times New Roman"/>
          <w:b/>
          <w:bCs/>
          <w:i/>
          <w:iCs/>
          <w:sz w:val="22"/>
          <w:szCs w:val="22"/>
          <w:lang w:val="uk-UA"/>
        </w:rPr>
        <w:t>Класифікація за структурою глікону.</w:t>
      </w:r>
      <w:r>
        <w:rPr>
          <w:rFonts w:cs="Times New Roman" w:ascii="Times New Roman" w:hAnsi="Times New Roman"/>
          <w:b w:val="false"/>
          <w:bCs w:val="false"/>
          <w:i/>
          <w:iCs/>
          <w:sz w:val="22"/>
          <w:szCs w:val="22"/>
          <w:lang w:val="uk-UA"/>
        </w:rPr>
        <w:t xml:space="preserve"> </w:t>
      </w:r>
      <w:r>
        <w:rPr>
          <w:rFonts w:cs="Times New Roman" w:ascii="Times New Roman" w:hAnsi="Times New Roman"/>
          <w:b w:val="false"/>
          <w:bCs w:val="false"/>
          <w:sz w:val="22"/>
          <w:szCs w:val="22"/>
          <w:lang w:val="uk-UA"/>
        </w:rPr>
        <w:t xml:space="preserve">До складу глікозидів найчастіше входять Dглюкоза, D-галактоза, D-ксилоза, L-арабіноза. Деякі глікозиди містять дезоксисахари, в молекулі яких одна чи декілька гідроксильних груп заміщені атомами водню (наприклад, D-рамноза, L-фукоза, D-дигітоксоза, D-цимароза). Глікозиди можуть містити уронові кислоти, наприклад D-глюкуронову кислоту в глікозидах солодки. </w:t>
      </w:r>
    </w:p>
    <w:p>
      <w:pPr>
        <w:pStyle w:val="Normal"/>
        <w:spacing w:lineRule="auto" w:line="240" w:before="0" w:after="0"/>
        <w:jc w:val="both"/>
        <w:rPr>
          <w:b w:val="false"/>
          <w:b w:val="false"/>
          <w:bCs w:val="false"/>
          <w:sz w:val="22"/>
          <w:szCs w:val="22"/>
        </w:rPr>
      </w:pPr>
      <w:r>
        <w:rPr>
          <w:rFonts w:cs="Times New Roman" w:ascii="Times New Roman" w:hAnsi="Times New Roman"/>
          <w:b w:val="false"/>
          <w:bCs w:val="false"/>
          <w:i/>
          <w:iCs/>
          <w:sz w:val="22"/>
          <w:szCs w:val="22"/>
          <w:lang w:val="uk-UA"/>
        </w:rPr>
        <w:t>Залежно від кількості залишків моносахаридів</w:t>
      </w:r>
      <w:r>
        <w:rPr>
          <w:rFonts w:cs="Times New Roman" w:ascii="Times New Roman" w:hAnsi="Times New Roman"/>
          <w:b w:val="false"/>
          <w:bCs w:val="false"/>
          <w:sz w:val="22"/>
          <w:szCs w:val="22"/>
          <w:lang w:val="uk-UA"/>
        </w:rPr>
        <w:t xml:space="preserve"> існують м о н о -з и д и, або м о н о г л і к о з и д и (один залишок сахару); б і о з и -д и, або д и г л і к о з и д и (два залишки сахару); т р и о з и д и, абот р и г л і к о з и д и (три залишки сахару), і о л і г о з и д и. Глікозиди з двома залишками моносахаридів, що з’єднані між собою в ланцюг, називають біозидами, а диглікозид має два сахара, що приєднані до молекули аглікону в різних положеннях. </w:t>
      </w:r>
    </w:p>
    <w:p>
      <w:pPr>
        <w:pStyle w:val="Normal"/>
        <w:spacing w:lineRule="auto" w:line="240" w:before="0" w:after="0"/>
        <w:jc w:val="both"/>
        <w:rPr>
          <w:b w:val="false"/>
          <w:b w:val="false"/>
          <w:bCs w:val="false"/>
          <w:sz w:val="22"/>
          <w:szCs w:val="22"/>
        </w:rPr>
      </w:pPr>
      <w:r>
        <w:rPr>
          <w:rFonts w:cs="Times New Roman" w:ascii="Times New Roman" w:hAnsi="Times New Roman"/>
          <w:b w:val="false"/>
          <w:bCs w:val="false"/>
          <w:i/>
          <w:iCs/>
          <w:sz w:val="22"/>
          <w:szCs w:val="22"/>
          <w:lang w:val="uk-UA"/>
        </w:rPr>
        <w:t>Залежно від конфігурації глікозидного зв’язку</w:t>
      </w:r>
      <w:r>
        <w:rPr>
          <w:rFonts w:cs="Times New Roman" w:ascii="Times New Roman" w:hAnsi="Times New Roman"/>
          <w:b w:val="false"/>
          <w:bCs w:val="false"/>
          <w:sz w:val="22"/>
          <w:szCs w:val="22"/>
          <w:lang w:val="uk-UA"/>
        </w:rPr>
        <w:t xml:space="preserve"> розрізняють α- і β-глікозиди. При утворенні глікозидів виникає новий асиметричний глікозидний центр. Його конфігурацію позначають буквами α- і β-. Для прикладу наводимо формулиα- і β- ізомерів метил-Dглюкопіранозиду.</w:t>
      </w:r>
    </w:p>
    <w:p>
      <w:pPr>
        <w:pStyle w:val="Normal"/>
        <w:spacing w:lineRule="auto" w:line="240" w:before="0" w:after="0"/>
        <w:jc w:val="both"/>
        <w:rPr>
          <w:b w:val="false"/>
          <w:b w:val="false"/>
          <w:bCs w:val="false"/>
          <w:sz w:val="22"/>
          <w:szCs w:val="22"/>
        </w:rPr>
      </w:pPr>
      <w:r>
        <w:rPr>
          <w:rFonts w:cs="Times New Roman" w:ascii="Times New Roman" w:hAnsi="Times New Roman"/>
          <w:b w:val="false"/>
          <w:bCs w:val="false"/>
          <w:i/>
          <w:iCs/>
          <w:sz w:val="22"/>
          <w:szCs w:val="22"/>
          <w:lang w:val="uk-UA"/>
        </w:rPr>
        <w:t>Залежно від розміру циклу</w:t>
      </w:r>
      <w:r>
        <w:rPr>
          <w:rFonts w:cs="Times New Roman" w:ascii="Times New Roman" w:hAnsi="Times New Roman"/>
          <w:b w:val="false"/>
          <w:bCs w:val="false"/>
          <w:sz w:val="22"/>
          <w:szCs w:val="22"/>
          <w:lang w:val="uk-UA"/>
        </w:rPr>
        <w:t xml:space="preserve"> вуглеводного залишку глікозиди поділяють на ф у р а н о з и д и  і  п і р а н о з и д и.</w:t>
      </w:r>
    </w:p>
    <w:p>
      <w:pPr>
        <w:pStyle w:val="Normal"/>
        <w:spacing w:lineRule="auto" w:line="240" w:before="0" w:after="0"/>
        <w:jc w:val="both"/>
        <w:rPr>
          <w:b w:val="false"/>
          <w:b w:val="false"/>
          <w:bCs w:val="false"/>
          <w:sz w:val="22"/>
          <w:szCs w:val="22"/>
        </w:rPr>
      </w:pPr>
      <w:r>
        <w:rPr>
          <w:rFonts w:cs="Times New Roman" w:ascii="Times New Roman" w:hAnsi="Times New Roman"/>
          <w:b w:val="false"/>
          <w:bCs w:val="false"/>
          <w:i/>
          <w:iCs/>
          <w:sz w:val="22"/>
          <w:szCs w:val="22"/>
          <w:lang w:val="uk-UA"/>
        </w:rPr>
        <w:t>За назвою моносахаридів</w:t>
      </w:r>
      <w:r>
        <w:rPr>
          <w:rFonts w:cs="Times New Roman" w:ascii="Times New Roman" w:hAnsi="Times New Roman"/>
          <w:b w:val="false"/>
          <w:bCs w:val="false"/>
          <w:sz w:val="22"/>
          <w:szCs w:val="22"/>
          <w:lang w:val="uk-UA"/>
        </w:rPr>
        <w:t xml:space="preserve">, які входять до молекули глікозиду,бувають г л ю к о з и д и, г а л а к т о з и д и, г а л а к т у р о н о з и д и(галактуронова кислота) тощо. </w:t>
      </w:r>
    </w:p>
    <w:p>
      <w:pPr>
        <w:pStyle w:val="Normal"/>
        <w:spacing w:lineRule="auto" w:line="240" w:before="0" w:after="0"/>
        <w:jc w:val="both"/>
        <w:rPr/>
      </w:pPr>
      <w:r>
        <w:rPr>
          <w:rFonts w:cs="Times New Roman" w:ascii="Times New Roman" w:hAnsi="Times New Roman"/>
          <w:b/>
          <w:bCs/>
          <w:i/>
          <w:iCs/>
          <w:sz w:val="22"/>
          <w:szCs w:val="22"/>
          <w:lang w:val="uk-UA"/>
        </w:rPr>
        <w:t xml:space="preserve">Класифікація за будовою геніну. </w:t>
      </w:r>
      <w:r>
        <w:rPr>
          <w:rFonts w:cs="Times New Roman" w:ascii="Times New Roman" w:hAnsi="Times New Roman"/>
          <w:b w:val="false"/>
          <w:bCs w:val="false"/>
          <w:sz w:val="22"/>
          <w:szCs w:val="22"/>
          <w:lang w:val="uk-UA"/>
        </w:rPr>
        <w:t>Залежно від природи агліконуглікозиди поділяються на чотири групи: аліфатичні глікозиди — глікозиди жирних кислот, жирнихспиртів і гліцерину; аліциклічні глікозиди — карденоліди та буфадієноліди, тритерпенові та стероїдні сапоніни, моно-, ди- та сесквітерпенові глікозиди, глікоалкалоїди; ароматичні глікозиди — антраглікозиди, фенольні глікозиди, глікозиди кумаринів, флавоноїдів та ряд інших; гетероциклічні глікозиди — нуклеотиди, нуклеозиди та інші.</w:t>
      </w:r>
    </w:p>
    <w:p>
      <w:pPr>
        <w:pStyle w:val="Normal"/>
        <w:spacing w:lineRule="auto" w:line="240" w:before="0" w:after="0"/>
        <w:jc w:val="both"/>
        <w:rPr>
          <w:rFonts w:ascii="Times New Roman" w:hAnsi="Times New Roman" w:cs="Times New Roman"/>
          <w:b w:val="false"/>
          <w:b w:val="false"/>
          <w:bCs w:val="false"/>
          <w:sz w:val="22"/>
          <w:szCs w:val="22"/>
          <w:lang w:val="uk-UA"/>
        </w:rPr>
      </w:pPr>
      <w:r>
        <w:rPr>
          <w:rFonts w:cs="Times New Roman" w:ascii="Times New Roman" w:hAnsi="Times New Roman"/>
          <w:b w:val="false"/>
          <w:bCs w:val="false"/>
          <w:sz w:val="22"/>
          <w:szCs w:val="22"/>
          <w:lang w:val="uk-UA"/>
        </w:rPr>
      </w:r>
    </w:p>
    <w:p>
      <w:pPr>
        <w:pStyle w:val="Normal"/>
        <w:spacing w:lineRule="auto" w:line="240" w:before="0" w:after="0"/>
        <w:jc w:val="center"/>
        <w:rPr/>
      </w:pPr>
      <w:r>
        <w:rPr>
          <w:rFonts w:cs="Times New Roman" w:ascii="Times New Roman" w:hAnsi="Times New Roman"/>
          <w:b/>
          <w:sz w:val="24"/>
          <w:szCs w:val="24"/>
          <w:lang w:val="uk-UA"/>
        </w:rPr>
        <w:t>Навчальні завдання</w:t>
      </w:r>
    </w:p>
    <w:p>
      <w:pPr>
        <w:pStyle w:val="Normal"/>
        <w:spacing w:lineRule="auto" w:line="240" w:before="0" w:after="0"/>
        <w:jc w:val="both"/>
        <w:rPr>
          <w:b/>
          <w:b/>
          <w:bCs/>
          <w:i/>
          <w:i/>
          <w:iCs/>
        </w:rPr>
      </w:pPr>
      <w:r>
        <w:rPr>
          <w:rFonts w:cs="Times New Roman" w:ascii="Times New Roman" w:hAnsi="Times New Roman"/>
          <w:b/>
          <w:bCs/>
          <w:i/>
          <w:iCs/>
          <w:sz w:val="24"/>
          <w:szCs w:val="24"/>
          <w:lang w:val="uk-UA"/>
        </w:rPr>
        <w:t>Сировина для гістохімічного дослідження: картопля, банан, мальва, лілія, льон, мати-й-мачуха, алтея, подорожник, ламінарія, цикорій, оман, ехінацея, кульбаба тощо.</w:t>
      </w:r>
    </w:p>
    <w:p>
      <w:pPr>
        <w:pStyle w:val="Normal"/>
        <w:spacing w:lineRule="auto" w:line="240" w:before="0" w:after="0"/>
        <w:jc w:val="both"/>
        <w:rPr/>
      </w:pPr>
      <w:r>
        <w:rPr>
          <w:rFonts w:cs="Times New Roman" w:ascii="Times New Roman" w:hAnsi="Times New Roman"/>
          <w:b/>
          <w:sz w:val="24"/>
          <w:szCs w:val="24"/>
          <w:lang w:val="uk-UA"/>
        </w:rPr>
        <w:t>Завдання 1. Гістохімічні реакції на крохмаль.</w:t>
      </w:r>
    </w:p>
    <w:p>
      <w:pPr>
        <w:pStyle w:val="Normal"/>
        <w:spacing w:lineRule="auto" w:line="240" w:before="0" w:after="0"/>
        <w:jc w:val="both"/>
        <w:rPr/>
      </w:pPr>
      <w:r>
        <w:rPr>
          <w:rFonts w:cs="Times New Roman" w:ascii="Times New Roman" w:hAnsi="Times New Roman"/>
          <w:sz w:val="24"/>
          <w:szCs w:val="24"/>
          <w:lang w:val="uk-UA"/>
        </w:rPr>
        <w:t xml:space="preserve">Зріз лікарської рослинної сировини вміщують в краплину розчину Люголю, накривають покривним склом і спостерігають у мікроскопі. Крохмальні зерна забарвлюються в синій або фіолетовий колір. </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Завдання 2. Гістохімічні реакції на інулін.</w:t>
      </w:r>
    </w:p>
    <w:p>
      <w:pPr>
        <w:pStyle w:val="Normal"/>
        <w:spacing w:lineRule="auto" w:line="240" w:before="0" w:after="0"/>
        <w:jc w:val="both"/>
        <w:rPr/>
      </w:pPr>
      <w:r>
        <w:rPr>
          <w:rFonts w:cs="Times New Roman" w:ascii="Times New Roman" w:hAnsi="Times New Roman"/>
          <w:sz w:val="24"/>
          <w:szCs w:val="24"/>
          <w:lang w:val="uk-UA"/>
        </w:rPr>
        <w:t>На поперечний зріз лікарської рослинної сировини наносять 2-3 краплини 20% спиртового розчину α-нафтолу і краплину концентрованої сірчаної кислоти; з’являється фіолетово-рожеве забарвлення; при заміні α-нафтолу на резорцин – червоне, α-тимол – рожево-малинове забарвлення.</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 xml:space="preserve">Завдання 3. Реакція на слиз. </w:t>
      </w:r>
    </w:p>
    <w:p>
      <w:pPr>
        <w:pStyle w:val="Normal"/>
        <w:spacing w:lineRule="auto" w:line="240" w:before="0" w:after="0"/>
        <w:jc w:val="both"/>
        <w:rPr>
          <w:rFonts w:ascii="Times New Roman" w:hAnsi="Times New Roman" w:cs="Times New Roman"/>
          <w:b/>
          <w:b/>
          <w:i/>
          <w:i/>
          <w:sz w:val="24"/>
          <w:szCs w:val="24"/>
          <w:lang w:val="uk-UA"/>
        </w:rPr>
      </w:pPr>
      <w:r>
        <w:rPr>
          <w:rFonts w:cs="Times New Roman" w:ascii="Times New Roman" w:hAnsi="Times New Roman"/>
          <w:b/>
          <w:i/>
          <w:sz w:val="24"/>
          <w:szCs w:val="24"/>
          <w:lang w:val="uk-UA"/>
        </w:rPr>
        <w:t xml:space="preserve">1. З метиленовим синім. </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Зріз вміщують на декілька хвилин в розчин метиленового синього у спирті (1:5000), а потім переносять у гліцерин; слиз забарвлюється в блакитний колір (спостереження ведуть у мікроскопі). </w:t>
      </w:r>
    </w:p>
    <w:p>
      <w:pPr>
        <w:pStyle w:val="Normal"/>
        <w:spacing w:lineRule="auto" w:line="240" w:before="0" w:after="0"/>
        <w:jc w:val="both"/>
        <w:rPr>
          <w:rFonts w:ascii="Times New Roman" w:hAnsi="Times New Roman" w:cs="Times New Roman"/>
          <w:b/>
          <w:b/>
          <w:i/>
          <w:i/>
          <w:sz w:val="24"/>
          <w:szCs w:val="24"/>
          <w:lang w:val="uk-UA"/>
        </w:rPr>
      </w:pPr>
      <w:r>
        <w:rPr>
          <w:rFonts w:cs="Times New Roman" w:ascii="Times New Roman" w:hAnsi="Times New Roman"/>
          <w:b/>
          <w:i/>
          <w:sz w:val="24"/>
          <w:szCs w:val="24"/>
          <w:lang w:val="uk-UA"/>
        </w:rPr>
        <w:t xml:space="preserve">2. Із сульфатом міді та лугом. </w:t>
      </w:r>
    </w:p>
    <w:p>
      <w:pPr>
        <w:pStyle w:val="Normal"/>
        <w:spacing w:lineRule="auto" w:line="240" w:before="0" w:after="0"/>
        <w:jc w:val="both"/>
        <w:rPr/>
      </w:pPr>
      <w:r>
        <w:rPr>
          <w:rFonts w:cs="Times New Roman" w:ascii="Times New Roman" w:hAnsi="Times New Roman"/>
          <w:sz w:val="24"/>
          <w:szCs w:val="24"/>
          <w:lang w:val="uk-UA"/>
        </w:rPr>
        <w:t>Зріз вміщують на 10-15 хвилин у насичений розчин міді сульфату, промивають водою і переносять у 50%-й розчин калію гідроксиду; слиз забарвлюється у блакитний колір (рослини родини мальвових) або в зелений (рослини родини лілійних).</w:t>
      </w:r>
    </w:p>
    <w:p>
      <w:pPr>
        <w:pStyle w:val="Normal"/>
        <w:spacing w:lineRule="auto" w:line="240" w:before="0" w:after="0"/>
        <w:jc w:val="both"/>
        <w:rPr>
          <w:rFonts w:ascii="Times New Roman" w:hAnsi="Times New Roman" w:cs="Times New Roman"/>
          <w:b/>
          <w:b/>
          <w:i/>
          <w:i/>
          <w:sz w:val="24"/>
          <w:szCs w:val="24"/>
          <w:lang w:val="uk-UA"/>
        </w:rPr>
      </w:pPr>
      <w:r>
        <w:rPr>
          <w:rFonts w:cs="Times New Roman" w:ascii="Times New Roman" w:hAnsi="Times New Roman"/>
          <w:b/>
          <w:i/>
          <w:sz w:val="24"/>
          <w:szCs w:val="24"/>
          <w:lang w:val="uk-UA"/>
        </w:rPr>
        <w:t>3. З тушшю.</w:t>
      </w:r>
    </w:p>
    <w:p>
      <w:pPr>
        <w:pStyle w:val="Normal"/>
        <w:spacing w:lineRule="auto" w:line="240" w:before="0" w:after="0"/>
        <w:jc w:val="both"/>
        <w:rPr/>
      </w:pPr>
      <w:r>
        <w:rPr>
          <w:rFonts w:cs="Times New Roman" w:ascii="Times New Roman" w:hAnsi="Times New Roman"/>
          <w:sz w:val="24"/>
          <w:szCs w:val="24"/>
          <w:lang w:val="uk-UA"/>
        </w:rPr>
        <w:t>Суміш туші і води (1:9) готують у міру потреби. Досліджуваний порошок розмішують в 1-2 краплях цієї суміші; на темно-сірому полі зору між невиразно розрізнюваними часточками досліджуваного порошку виділяються білими острівцями скловидні безструктурні грудки слизу, які поступово розбухають і розтікаються внаслідок розчинності слизу у воді (мікрохімічна реакція).</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Завдання 4. Реакція на чисту клітковину з хлор-цинк-йодом.</w:t>
      </w:r>
    </w:p>
    <w:p>
      <w:pPr>
        <w:pStyle w:val="Normal"/>
        <w:spacing w:lineRule="auto" w:line="240" w:before="0" w:after="0"/>
        <w:jc w:val="both"/>
        <w:rPr/>
      </w:pPr>
      <w:r>
        <w:rPr>
          <w:rFonts w:cs="Times New Roman" w:ascii="Times New Roman" w:hAnsi="Times New Roman"/>
          <w:sz w:val="24"/>
          <w:szCs w:val="24"/>
          <w:lang w:val="uk-UA"/>
        </w:rPr>
        <w:t>Зріз поміщають на предметне скло в краплю води, розправляють і воду відсмоктують фільтрувальним папером. Краплю реактиву наносять на зріз і накривають покривним склом. У мікроскопі спостерігають синьо-фіолетове або лілове забарвлення оболонок клітин, які побудовані з чистої клітковини (деревина забарвлюється в у жовтий колір).</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bookmarkStart w:id="0" w:name="_GoBack"/>
      <w:bookmarkStart w:id="1" w:name="_GoBack"/>
      <w:bookmarkEnd w:id="1"/>
    </w:p>
    <w:p>
      <w:pPr>
        <w:pStyle w:val="Normal"/>
        <w:spacing w:lineRule="auto" w:line="240" w:before="0" w:after="0"/>
        <w:jc w:val="both"/>
        <w:rPr/>
      </w:pPr>
      <w:r>
        <w:rPr>
          <w:rFonts w:cs="Times New Roman" w:ascii="Times New Roman" w:hAnsi="Times New Roman"/>
          <w:b/>
          <w:sz w:val="24"/>
          <w:szCs w:val="24"/>
          <w:lang w:val="uk-UA"/>
        </w:rPr>
        <w:t>Завдання 5. Якісне визначення фенолглікозидів в лікарській рослинній сировині.</w:t>
      </w:r>
    </w:p>
    <w:p>
      <w:pPr>
        <w:pStyle w:val="Normal"/>
        <w:spacing w:lineRule="auto" w:line="240" w:before="0" w:after="0"/>
        <w:jc w:val="both"/>
        <w:rPr>
          <w:b/>
          <w:b/>
          <w:bCs/>
          <w:i/>
          <w:i/>
          <w:iCs/>
        </w:rPr>
      </w:pPr>
      <w:r>
        <w:rPr>
          <w:rFonts w:cs="Times New Roman" w:ascii="Times New Roman" w:hAnsi="Times New Roman"/>
          <w:b/>
          <w:bCs/>
          <w:i/>
          <w:iCs/>
          <w:sz w:val="24"/>
          <w:szCs w:val="24"/>
          <w:lang w:val="uk-UA"/>
        </w:rPr>
        <w:t>Сировина: бадан, мучниця (толокнянка), листя брусниці.</w:t>
      </w:r>
    </w:p>
    <w:p>
      <w:pPr>
        <w:pStyle w:val="Normal"/>
        <w:spacing w:lineRule="auto" w:line="240" w:before="0" w:after="0"/>
        <w:jc w:val="both"/>
        <w:rPr/>
      </w:pPr>
      <w:r>
        <w:rPr>
          <w:rFonts w:cs="Times New Roman" w:ascii="Times New Roman" w:hAnsi="Times New Roman"/>
          <w:sz w:val="24"/>
          <w:szCs w:val="24"/>
          <w:lang w:val="uk-UA"/>
        </w:rPr>
        <w:t>Приготування витягу: водний витяг з сировини (1:10).</w:t>
      </w:r>
    </w:p>
    <w:p>
      <w:pPr>
        <w:pStyle w:val="Normal"/>
        <w:spacing w:lineRule="auto" w:line="240" w:before="0" w:after="0"/>
        <w:jc w:val="both"/>
        <w:rPr/>
      </w:pPr>
      <w:r>
        <w:rPr>
          <w:rFonts w:cs="Times New Roman" w:ascii="Times New Roman" w:hAnsi="Times New Roman"/>
          <w:sz w:val="24"/>
          <w:szCs w:val="24"/>
          <w:lang w:val="uk-UA"/>
        </w:rPr>
        <w:t>1 г сировини кип'ятять з 10 мл води 2-3 хвилини, охолоджують, фільтрують.</w:t>
      </w:r>
    </w:p>
    <w:p>
      <w:pPr>
        <w:pStyle w:val="Normal"/>
        <w:spacing w:lineRule="auto" w:line="240" w:before="0" w:after="0"/>
        <w:jc w:val="both"/>
        <w:rPr>
          <w:rFonts w:ascii="Times New Roman" w:hAnsi="Times New Roman" w:cs="Times New Roman"/>
          <w:i/>
          <w:i/>
          <w:sz w:val="24"/>
          <w:szCs w:val="24"/>
          <w:lang w:val="uk-UA"/>
        </w:rPr>
      </w:pPr>
      <w:r>
        <w:rPr>
          <w:rFonts w:cs="Times New Roman" w:ascii="Times New Roman" w:hAnsi="Times New Roman"/>
          <w:i/>
          <w:sz w:val="24"/>
          <w:szCs w:val="24"/>
          <w:lang w:val="uk-UA"/>
        </w:rPr>
        <w:t>Реакції:</w:t>
      </w:r>
    </w:p>
    <w:p>
      <w:pPr>
        <w:pStyle w:val="Normal"/>
        <w:spacing w:lineRule="auto" w:line="240" w:before="0" w:after="0"/>
        <w:jc w:val="both"/>
        <w:rPr/>
      </w:pPr>
      <w:r>
        <w:rPr>
          <w:rFonts w:cs="Times New Roman" w:ascii="Times New Roman" w:hAnsi="Times New Roman"/>
          <w:sz w:val="24"/>
          <w:szCs w:val="24"/>
          <w:lang w:val="uk-UA"/>
        </w:rPr>
        <w:t>1. До 1 мл витягу додають кристал сульфату заліза (ІІ). За наявності феноглікозидів з’являється бузкове забарвлення, яке переходить у фіолетове, далі утворюється темно-фіолетовий осад (арбутин).</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 До 1 мл фільтрату (у фарфоровій чашці) додають 4 мл 10% розчину гідроксиду амонію (аміаку) і нашаровують по стінках 1 мл 10% розчину фосфорномолібдату натрію в 10% хлоридній кислоті. За наявності фенолглікозидів з’являється синє забарвлення, яке переходить в зелене (арбутин).</w:t>
      </w:r>
    </w:p>
    <w:p>
      <w:pPr>
        <w:pStyle w:val="Normal"/>
        <w:spacing w:lineRule="auto" w:line="240" w:before="0" w:after="0"/>
        <w:jc w:val="both"/>
        <w:rPr/>
      </w:pPr>
      <w:r>
        <w:rPr>
          <w:rFonts w:cs="Times New Roman" w:ascii="Times New Roman" w:hAnsi="Times New Roman"/>
          <w:b/>
          <w:bCs/>
          <w:i/>
          <w:iCs/>
          <w:sz w:val="24"/>
          <w:szCs w:val="24"/>
          <w:lang w:val="uk-UA"/>
        </w:rPr>
        <w:t xml:space="preserve">Зробіть висновки. </w:t>
      </w:r>
    </w:p>
    <w:sectPr>
      <w:type w:val="nextPage"/>
      <w:pgSz w:w="11906" w:h="16838"/>
      <w:pgMar w:left="1134"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a85fe9"/>
    <w:rPr>
      <w:color w:val="808080"/>
    </w:rPr>
  </w:style>
  <w:style w:type="character" w:styleId="Style14" w:customStyle="1">
    <w:name w:val="Текст выноски Знак"/>
    <w:basedOn w:val="DefaultParagraphFont"/>
    <w:link w:val="a4"/>
    <w:uiPriority w:val="99"/>
    <w:semiHidden/>
    <w:qFormat/>
    <w:rsid w:val="00a85fe9"/>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5"/>
    <w:uiPriority w:val="99"/>
    <w:semiHidden/>
    <w:unhideWhenUsed/>
    <w:qFormat/>
    <w:rsid w:val="00a85fe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LibreOffice/6.2.2.2$Windows_X86_64 LibreOffice_project/2b840030fec2aae0fd2658d8d4f9548af4e3518d</Application>
  <Pages>3</Pages>
  <Words>1237</Words>
  <Characters>8149</Characters>
  <CharactersWithSpaces>9372</CharactersWithSpaces>
  <Paragraphs>46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2019-10-03T12:33:00Z</dcterms:created>
  <dc:creator>user</dc:creator>
  <dc:description/>
  <dc:language>ru-RU</dc:language>
  <cp:lastModifiedBy/>
  <dcterms:modified xsi:type="dcterms:W3CDTF">2019-10-07T14:17:22Z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