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69" w:rsidRPr="00110A69" w:rsidRDefault="00110A69" w:rsidP="00EE11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Лекція № </w:t>
      </w:r>
    </w:p>
    <w:p w:rsidR="001044C7" w:rsidRPr="00110A69" w:rsidRDefault="00110A69" w:rsidP="00EE11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Тема:</w:t>
      </w:r>
      <w:r w:rsidR="001044C7" w:rsidRPr="00110A69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Дуб</w:t>
      </w:r>
      <w:r w:rsidR="005A6E5D" w:rsidRPr="00110A69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ильні речовини</w:t>
      </w:r>
    </w:p>
    <w:p w:rsidR="005A6E5D" w:rsidRPr="00110A69" w:rsidRDefault="005A6E5D" w:rsidP="00EE11C8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7C2827" w:rsidRPr="00110A69" w:rsidRDefault="005A6E5D" w:rsidP="005F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1. </w:t>
      </w:r>
      <w:r w:rsidR="001044C7" w:rsidRPr="00110A69">
        <w:rPr>
          <w:rFonts w:ascii="Times New Roman" w:hAnsi="Times New Roman" w:cs="Times New Roman"/>
          <w:sz w:val="24"/>
          <w:szCs w:val="24"/>
        </w:rPr>
        <w:t>Визначення та класифікація, фізико-хімічні властивості</w:t>
      </w:r>
      <w:r w:rsidR="001044C7" w:rsidRPr="00110A69">
        <w:rPr>
          <w:rFonts w:ascii="Times New Roman" w:hAnsi="Times New Roman" w:cs="Times New Roman"/>
          <w:sz w:val="24"/>
          <w:szCs w:val="24"/>
          <w:lang w:val="uk-UA"/>
        </w:rPr>
        <w:t xml:space="preserve"> дубильних речовин</w:t>
      </w:r>
      <w:r w:rsidR="001044C7" w:rsidRPr="00110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E47" w:rsidRPr="00110A69" w:rsidRDefault="00FA1E47" w:rsidP="00FA1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2. Методи вилучення з рослинної сировини. </w:t>
      </w:r>
    </w:p>
    <w:p w:rsidR="007C2827" w:rsidRPr="00110A69" w:rsidRDefault="00FA1E47" w:rsidP="005F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>3</w:t>
      </w:r>
      <w:r w:rsidR="005A6E5D" w:rsidRPr="00110A69">
        <w:rPr>
          <w:rFonts w:ascii="Times New Roman" w:hAnsi="Times New Roman" w:cs="Times New Roman"/>
          <w:sz w:val="24"/>
          <w:szCs w:val="24"/>
        </w:rPr>
        <w:t xml:space="preserve">. </w:t>
      </w:r>
      <w:r w:rsidR="001044C7" w:rsidRPr="00110A69">
        <w:rPr>
          <w:rFonts w:ascii="Times New Roman" w:hAnsi="Times New Roman" w:cs="Times New Roman"/>
          <w:sz w:val="24"/>
          <w:szCs w:val="24"/>
        </w:rPr>
        <w:t xml:space="preserve">Методи якісного та кількісного аналізу цих сполук в рослинній сировині. </w:t>
      </w:r>
    </w:p>
    <w:p w:rsidR="007C2827" w:rsidRPr="00110A69" w:rsidRDefault="005A6E5D" w:rsidP="005F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0A69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proofErr w:type="gramStart"/>
      <w:r w:rsidR="001044C7" w:rsidRPr="00110A69">
        <w:rPr>
          <w:rFonts w:ascii="Times New Roman" w:hAnsi="Times New Roman" w:cs="Times New Roman"/>
          <w:sz w:val="24"/>
          <w:szCs w:val="24"/>
          <w:highlight w:val="yellow"/>
        </w:rPr>
        <w:t>Б</w:t>
      </w:r>
      <w:proofErr w:type="gramEnd"/>
      <w:r w:rsidR="001044C7" w:rsidRPr="00110A69">
        <w:rPr>
          <w:rFonts w:ascii="Times New Roman" w:hAnsi="Times New Roman" w:cs="Times New Roman"/>
          <w:sz w:val="24"/>
          <w:szCs w:val="24"/>
          <w:highlight w:val="yellow"/>
        </w:rPr>
        <w:t>іогенез</w:t>
      </w:r>
      <w:r w:rsidR="001044C7" w:rsidRPr="00110A6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дубильних речовин</w:t>
      </w:r>
      <w:r w:rsidR="001044C7" w:rsidRPr="00110A6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C2827" w:rsidRPr="00110A69" w:rsidRDefault="005A6E5D" w:rsidP="005F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044C7" w:rsidRPr="00110A69">
        <w:rPr>
          <w:rFonts w:ascii="Times New Roman" w:hAnsi="Times New Roman" w:cs="Times New Roman"/>
          <w:sz w:val="24"/>
          <w:szCs w:val="24"/>
          <w:lang w:val="uk-UA"/>
        </w:rPr>
        <w:t xml:space="preserve">Рослини, які містять дубильні речовини. </w:t>
      </w:r>
    </w:p>
    <w:p w:rsidR="007C2827" w:rsidRPr="00110A69" w:rsidRDefault="005A6E5D" w:rsidP="005F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1044C7" w:rsidRPr="00110A69">
        <w:rPr>
          <w:rFonts w:ascii="Times New Roman" w:hAnsi="Times New Roman" w:cs="Times New Roman"/>
          <w:sz w:val="24"/>
          <w:szCs w:val="24"/>
          <w:lang w:val="uk-UA"/>
        </w:rPr>
        <w:t xml:space="preserve">Біологічна дія дубильних речовин. </w:t>
      </w:r>
    </w:p>
    <w:p w:rsidR="001044C7" w:rsidRPr="00110A69" w:rsidRDefault="005A6E5D" w:rsidP="005F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7. </w:t>
      </w:r>
      <w:r w:rsidR="001044C7" w:rsidRPr="00110A69">
        <w:rPr>
          <w:rFonts w:ascii="Times New Roman" w:hAnsi="Times New Roman" w:cs="Times New Roman"/>
          <w:sz w:val="24"/>
          <w:szCs w:val="24"/>
        </w:rPr>
        <w:t xml:space="preserve">Основні рослини, які знайшли застосування в медицині та </w:t>
      </w:r>
      <w:proofErr w:type="gramStart"/>
      <w:r w:rsidR="001044C7" w:rsidRPr="00110A69">
        <w:rPr>
          <w:rFonts w:ascii="Times New Roman" w:hAnsi="Times New Roman" w:cs="Times New Roman"/>
          <w:sz w:val="24"/>
          <w:szCs w:val="24"/>
        </w:rPr>
        <w:t>народному</w:t>
      </w:r>
      <w:proofErr w:type="gramEnd"/>
      <w:r w:rsidR="001044C7" w:rsidRPr="00110A69">
        <w:rPr>
          <w:rFonts w:ascii="Times New Roman" w:hAnsi="Times New Roman" w:cs="Times New Roman"/>
          <w:sz w:val="24"/>
          <w:szCs w:val="24"/>
        </w:rPr>
        <w:t xml:space="preserve"> господарстві.</w:t>
      </w:r>
    </w:p>
    <w:p w:rsidR="00EE11C8" w:rsidRPr="00110A69" w:rsidRDefault="00EE11C8" w:rsidP="00EE11C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1E47" w:rsidRPr="00110A69" w:rsidRDefault="00EE11C8" w:rsidP="00110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>1. Визначення та класифікація, фізико-хімічні властивості</w:t>
      </w:r>
      <w:r w:rsidRPr="00110A69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 дубильних речовин</w:t>
      </w: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Дубильні речовини </w:t>
      </w:r>
      <w:r w:rsidR="005A6819" w:rsidRPr="00110A69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(таніди)</w:t>
      </w:r>
      <w:r w:rsidR="005A6819" w:rsidRPr="00110A6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uk-UA"/>
        </w:rPr>
        <w:t>— це комплекс низько- та високомолекулярних поліфенолів, генетично зв’язаних між собою, в’яжучих на смак і здатних ущільнювати тканини, таким чином перетворюючи шкіру на шкуру.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Хімічна будова їх дуже складна, а тому й класифікація цих сполук непроста. В основу класифікації Проктера (1894) було покладено властивість дубильних речовин розкладатися при нагріванні до 180 – 2000С (без доступу повітря) з виділенням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ірогалолу або пірокатехіну. Відповідно і називають їх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ірогаловими та пірокатехіновими дубильними речовинами.</w:t>
      </w:r>
    </w:p>
    <w:p w:rsidR="00FA1E47" w:rsidRPr="00110A69" w:rsidRDefault="00FA1E47" w:rsidP="00FA1E47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5CE844CF" wp14:editId="55A49FED">
            <wp:extent cx="3338700" cy="1053605"/>
            <wp:effectExtent l="19050" t="0" r="0" b="0"/>
            <wp:docPr id="3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799" t="41826" r="49119" b="4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72" cy="106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За другою загальноприйнятою класифікацією, запропонованою К.</w:t>
      </w:r>
      <w:r w:rsidR="005A6819" w:rsidRPr="00110A69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Фрейденбергом,</w:t>
      </w:r>
      <w:r w:rsidR="005A6819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ірогалові дубильні речовини віднесено до групи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дубильних речовин, що гідролізуються</w:t>
      </w:r>
      <w:r w:rsidR="005A6819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а пірокатехінові — до групи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конденсованих дубильних речовин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До </w:t>
      </w:r>
      <w:r w:rsidRPr="00110A69">
        <w:rPr>
          <w:rFonts w:ascii="Times New Roman" w:hAnsi="Times New Roman" w:cs="Times New Roman"/>
          <w:b/>
          <w:i/>
          <w:color w:val="231F20"/>
          <w:sz w:val="24"/>
          <w:szCs w:val="24"/>
        </w:rPr>
        <w:t>першої групи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A6819" w:rsidRPr="00110A6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5A6819"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дубильні речовини, що гідролізуються</w:t>
      </w:r>
      <w:r w:rsidR="005A6819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належать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галотаніни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— складні ефіри галової кислоти і моносахаридів;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елаготаніни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— складні ефіри гексагідроксидифенової кислоти (гексагідроксидифенова кислота у вільному стані невідома, при гідролізі ефіру вона зразу переходить в елагову кислоту) та моносахаридів;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складні ефіри фенолкарбонових кислот, у яких роль цукрів виконують інші природні сполуки, наприклад, хінна кислота. Дубильні речовини гідролізуються під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ією кислот або лугів на галову, елагову або інші кислоти і моносахариди.</w:t>
      </w:r>
    </w:p>
    <w:p w:rsidR="00FA1E47" w:rsidRPr="00110A69" w:rsidRDefault="00FA1E47" w:rsidP="0011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982210" wp14:editId="125F86EC">
            <wp:extent cx="5651242" cy="1609725"/>
            <wp:effectExtent l="19050" t="0" r="6608" b="0"/>
            <wp:docPr id="3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03" t="44677" r="39177" b="2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71" cy="161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i/>
          <w:color w:val="231F20"/>
          <w:sz w:val="24"/>
          <w:szCs w:val="24"/>
        </w:rPr>
        <w:t>Друга група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—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конденсовані дубильні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речовини,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не гідролізуються, а під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ією кислот утворюють складніші сполуки. До цієї групи входить три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ідгрупи дубильних речовин: похідні флаван-3-олів (катехіни), флаван- 3,4-діолів (лейкоантоціани) і оксистільбенів.</w:t>
      </w:r>
    </w:p>
    <w:p w:rsidR="00FA1E47" w:rsidRPr="00110A69" w:rsidRDefault="00FA1E47" w:rsidP="0011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5C7CDAB" wp14:editId="0D2A1355">
            <wp:extent cx="2566243" cy="1097928"/>
            <wp:effectExtent l="19050" t="0" r="5507" b="0"/>
            <wp:docPr id="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655" t="57605" r="53608" b="2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2" cy="11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Фізико-хімічні та біологічні властивості.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Дубильні речовини — безбарвні або бурувато-жовті, високомолекулярні — аморфні, а низькомолекулярні — кристалічні, в’яжучі на смак, розчиняються у воді, спирті, ацетоні, етилацетаті, нерозчинні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у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хлороформ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і, бензолі, діетиловому ефірі. Більшість з них оптично активні. Конденсовані дубильні речовини легко окислюються і перетворюються на флобафени (нерозчинні у воді сполуки). Дубильні речовини, як і інші фенольні сполуки, утворюють із солями важких металів забарвлені комплекси.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желатиною, свинцю ацетатом основним і солями алкалоїдів вони дають осади.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Дубильні речовини беруть участь в окислювально-відновлювальних процесах, мають широкий спектр фармакологічної дії. Вони застосовуються як в’яжучий, протизапальний, антибактеріальний, кровоспинний, Р-вітамінний засіб і як антидоти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при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отруєнні алкалоїдами і солями важких металів.</w:t>
      </w:r>
    </w:p>
    <w:p w:rsidR="00FA1E47" w:rsidRPr="00110A69" w:rsidRDefault="00FA1E47" w:rsidP="00EE1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E11C8" w:rsidRPr="00110A69" w:rsidRDefault="00FA1E47" w:rsidP="00EE1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EE11C8"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Методи вилучення з рослинної сировини. 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Методи виділення і аналіз дубильних речовин.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Із сировини дубильні речовини екстрагують гарячою водою, а потім екстракт очищають від супутніх сполук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посл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ідовною обробкою його петролейним ефіром, бензолом, сумішшю бензол — хлороформ (1:1), діетиловим ефіром і етилацетатом.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Часто застосовують попередню екстракцію сировини органічними розчинниками — неполярними або малополярними (щоб видалити хлорофіл, лі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іди, терпеноїди), а для виділення дубильних речовин сировину екстрагують етанолом.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Низькомолекулярні дубильні речовини (катехіни, лейкоантоціанідини, оксистільбени тощо) виділяють колонковою хроматографією із застосуванням сорбентів — силікагелю,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поліам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іду, целюлози та ін.</w:t>
      </w:r>
    </w:p>
    <w:p w:rsidR="00FA1E47" w:rsidRPr="00110A69" w:rsidRDefault="00FA1E47" w:rsidP="00FA1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3. Методи якісного та кількісного аналізу цих сполук в рослинній сировині. 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Якісні реакції.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Приготування витягу: 1 г сировини, подрібненої до 1 мм, вміщують у колбу на 250 мл, заливають 100 мл води і нагрівають на киплячому водяному нагрівнику 20 хв, охолоджують і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проц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іджують крізь вату. Для вилучення ліпофільних речовин водний витяг збовтують в ділильній лійці з хлороформом (1:1). Хлороформний шар відокремлюють, а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водного витягу додають три об’єми етанолу. Осад відфільтровують і відкидають (</w:t>
      </w: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t>полісахариди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t>Реакція з желатиною.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До 2 мл очищеного витягу додають краплями 1 %-й розчин желатини; з’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являється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каламуть, яка зникає при додаванні надлишку желатини.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t>Реакція з солями алкалоїдів.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До 2 мл витягу додають кілька крапель 1 %-го розчину хініну гідрохлориду (або сіль іншого алкалоїду); з’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являється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аморфний осад.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t>Реакція із залізоамонієвими галунами.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До 2 – 3 мл витягу додають 2 – 3 краплі розчину залізоамонієвих галуні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 присутності дубильних речовин, які гідролізуються, з’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являється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чорно-синє забарвлення, а конденсованих — чорно-зелене.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Реакції відмінності конденсованої групи дубильних речовин від дубильних речовин, що гідролізуються.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До 1 мл витягу додають 2 мл</w:t>
      </w: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10 %-ї оцтової кислоти і 1 мл 10 %-го розчину середньої солі свинцю ацетату.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В присутності групи дубильних речовин, які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ідролізуються, утворюється осад. Осад відфільтровують. До фільтрату додають 5 крапель 1 %-го розчину залізоамонієвих галуні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та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0,1 г кристалічного натрію ацетату. В присутності конденсованих дубильних речовин з’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являється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чорно-зелене забарвлення.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Реакція з бромною водою.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До 2 мл витягу додають краплями бромну воду (5 г брому в 1 л води) до появи запаху брому.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 присутності конденсованих дубильних речовин одразу утворюється осад.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Визначення вмісту.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Для кількісного визначення дубильних речовин у сировині застосовують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ізні фізико-хімічні методи: гравіметричний, окислювально-відновлювальний, комплексонометричний, фотоколориметричний.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До ДФ Х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включено перманганатометричний метод, який і наводиться нижче.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2 г (точна наважка) сировини, подрібненої і просіяної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кр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ізь сито з діаметром отворів 3 мм, вміщують у плоскодонну колбу на 500 мл, заливають 250 мл нагрітої до кипіння води і кип’ятять зі зворотним холодильником на електричному нагрівнику протягом 30 хв. при перемішуванні. Після охолодження до кімнатної температури витяг (приблизно 100 мл)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проц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іджують крізь вату у конічну колбу на 200 – 250 мл.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25 мл витягу відбирають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іпеткою і вміщують у конічну колбу на 750 мл. Додають 500 мл води і 25 мл індигосульфокислоти.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Титрують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при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пост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ійному перемішуванні розчином калію перманганату (0,02 моль/л) до золотаво-жовтого кольору. Для проведення контрольного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досл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іду до 525 мл води додають 25 мл індигосульфокислоти і титрують розчином калію перманганату (0,02 моль/л) до золотаво-жовтого кольору.</w:t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Вмі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ст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дубильних речовин (Х) у відсотках у перерахунку на абсолютно суху сировину обчислюють за формулою:</w:t>
      </w:r>
    </w:p>
    <w:p w:rsidR="00FA1E47" w:rsidRPr="00110A69" w:rsidRDefault="00FA1E47" w:rsidP="00FA1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A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34613F" wp14:editId="4E837EA9">
            <wp:extent cx="1466850" cy="349250"/>
            <wp:effectExtent l="19050" t="0" r="0" b="0"/>
            <wp:docPr id="3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089" t="36882" r="52218" b="5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47" w:rsidRPr="00110A69" w:rsidRDefault="00FA1E47" w:rsidP="00FA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де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V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’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єм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0,2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моль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/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розчину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калію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перманганату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витраченого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титрування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витягу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V1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’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єм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розчину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калію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перманганату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(0,02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моль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/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витраченого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титрування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контрольному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досл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іді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K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кількість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дубильних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речовин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що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відповідні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1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розчину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калію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перманганату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(0,02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моль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/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дубильних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речовин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які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гідролізуються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, (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перерахунку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тан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ін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дорівнює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0,004157;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конденсованих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— 0,00582; m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маса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сировини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W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вологість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сировини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%; 250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загальний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’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єм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витягу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25 —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’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єм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витягу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взятий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титрування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мл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</w:p>
    <w:p w:rsidR="00FA1E47" w:rsidRPr="00110A69" w:rsidRDefault="00FA1E47" w:rsidP="00EE1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:rsidR="00FA1E47" w:rsidRPr="00110A69" w:rsidRDefault="00EE11C8" w:rsidP="00110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4. </w:t>
      </w:r>
      <w:proofErr w:type="gramStart"/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>Б</w:t>
      </w:r>
      <w:proofErr w:type="gramEnd"/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>іогенез</w:t>
      </w:r>
      <w:r w:rsidRPr="00110A69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 дубильних речовин</w:t>
      </w: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</w:t>
      </w:r>
    </w:p>
    <w:p w:rsidR="00110A69" w:rsidRPr="00110A69" w:rsidRDefault="00110A69" w:rsidP="00110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k-UA"/>
        </w:rPr>
      </w:pPr>
      <w:r w:rsidRPr="00110A6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k-UA"/>
        </w:rPr>
        <w:t>На самостійне опрацювання.</w:t>
      </w:r>
    </w:p>
    <w:p w:rsidR="00FA1E47" w:rsidRPr="00110A69" w:rsidRDefault="00FA1E47" w:rsidP="00EE1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</w:p>
    <w:p w:rsidR="00EE11C8" w:rsidRPr="00110A69" w:rsidRDefault="00EE11C8" w:rsidP="00EE1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5. Рослини, які містять дубильні речовини. 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A69">
        <w:rPr>
          <w:rFonts w:ascii="Times New Roman" w:hAnsi="Times New Roman" w:cs="Times New Roman"/>
          <w:b/>
          <w:i/>
          <w:sz w:val="24"/>
          <w:szCs w:val="24"/>
        </w:rPr>
        <w:t>Поширення та локалізація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Дубильні речовини зустрічаються переважно у вищих рослинах. Найбільшу кількість видів рослин з високим вмістом дубильних речовин відзначено в родинах Fabaceae,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olygonaceae,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Anacardiaceae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Myrtaceae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Rosaceae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Hamamelidaceae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Salicaceae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Geraniaceae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Plumbaginaceae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Asteraceae</w:t>
      </w:r>
      <w:r w:rsidRPr="00110A69">
        <w:rPr>
          <w:rFonts w:ascii="Times New Roman" w:hAnsi="Times New Roman" w:cs="Times New Roman"/>
          <w:sz w:val="24"/>
          <w:szCs w:val="24"/>
        </w:rPr>
        <w:t xml:space="preserve">. Надзвичайно багаті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ін (45 % на суху масу) стручки цизальпінії коротколистої та цезальпінії дубильної (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Caesalpinia</w:t>
      </w:r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brevifolia</w:t>
      </w:r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0A69">
        <w:rPr>
          <w:rFonts w:ascii="Times New Roman" w:hAnsi="Times New Roman" w:cs="Times New Roman"/>
          <w:sz w:val="24"/>
          <w:szCs w:val="24"/>
        </w:rPr>
        <w:t xml:space="preserve">.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coriaria</w:t>
      </w:r>
      <w:r w:rsidRPr="00110A69">
        <w:rPr>
          <w:rFonts w:ascii="Times New Roman" w:hAnsi="Times New Roman" w:cs="Times New Roman"/>
          <w:sz w:val="24"/>
          <w:szCs w:val="24"/>
        </w:rPr>
        <w:t xml:space="preserve">)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A69">
        <w:rPr>
          <w:rFonts w:ascii="Times New Roman" w:hAnsi="Times New Roman" w:cs="Times New Roman"/>
          <w:sz w:val="24"/>
          <w:szCs w:val="24"/>
        </w:rPr>
        <w:t xml:space="preserve"> кора деяких видів евкаліптів (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Eucalyptus</w:t>
      </w:r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110A69">
        <w:rPr>
          <w:rFonts w:ascii="Times New Roman" w:hAnsi="Times New Roman" w:cs="Times New Roman"/>
          <w:sz w:val="24"/>
          <w:szCs w:val="24"/>
        </w:rPr>
        <w:t xml:space="preserve">.). Близько 64 % дубильних речовин, які гідролізуються, накопичуються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патологічних утвореннях (галах) — на листі сумаха напівкрилатого (Rhus semialata) та дуба лузитанського (Quercus lusitanica).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В усьому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іті відомі такі джерела танінів: 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A69">
        <w:rPr>
          <w:rFonts w:ascii="Times New Roman" w:hAnsi="Times New Roman" w:cs="Times New Roman"/>
          <w:i/>
          <w:sz w:val="24"/>
          <w:szCs w:val="24"/>
        </w:rPr>
        <w:t>катеху</w:t>
      </w:r>
      <w:r w:rsidRPr="00110A69">
        <w:rPr>
          <w:rFonts w:ascii="Times New Roman" w:hAnsi="Times New Roman" w:cs="Times New Roman"/>
          <w:sz w:val="24"/>
          <w:szCs w:val="24"/>
        </w:rPr>
        <w:t xml:space="preserve"> — сухий екстракт з деревини індійської акації (Acacia catechu, род.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Fabaceae) та інших видів. Катеху — це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нерівном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ірні шматки темно-брунатного кольору, в’яжучого та гіркого смаку, які цілком розчиняються у воді та спирті. Містять дубильні речовини конденсованої групи. Застосовують внутрішньо як в’яжуче; 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A69">
        <w:rPr>
          <w:rFonts w:ascii="Times New Roman" w:hAnsi="Times New Roman" w:cs="Times New Roman"/>
          <w:i/>
          <w:sz w:val="24"/>
          <w:szCs w:val="24"/>
        </w:rPr>
        <w:t>плоди міробалану</w:t>
      </w:r>
      <w:r w:rsidRPr="00110A69">
        <w:rPr>
          <w:rFonts w:ascii="Times New Roman" w:hAnsi="Times New Roman" w:cs="Times New Roman"/>
          <w:sz w:val="24"/>
          <w:szCs w:val="24"/>
        </w:rPr>
        <w:t xml:space="preserve"> (Terminalia chedula, род.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Anacardiaceae), які містять близько 40 % танідів, використовують при шлунково-кишкових розладах і дизентерії;</w:t>
      </w:r>
      <w:proofErr w:type="gramEnd"/>
    </w:p>
    <w:p w:rsidR="00EE11C8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i/>
          <w:sz w:val="24"/>
          <w:szCs w:val="24"/>
        </w:rPr>
        <w:lastRenderedPageBreak/>
        <w:t>гамбі</w:t>
      </w:r>
      <w:proofErr w:type="gramStart"/>
      <w:r w:rsidRPr="00110A6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— сухий екстракт з листя та молодих пагонів Uncaria gambir, род. Rubiaceae, який одержують шляхом екстракції сировини водою. Містить дубильні речовини конденсованої групи; використовується внутрішньо як в’яжуче;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i/>
          <w:sz w:val="24"/>
          <w:szCs w:val="24"/>
        </w:rPr>
        <w:t>кіно</w:t>
      </w:r>
      <w:r w:rsidRPr="00110A69">
        <w:rPr>
          <w:rFonts w:ascii="Times New Roman" w:hAnsi="Times New Roman" w:cs="Times New Roman"/>
          <w:sz w:val="24"/>
          <w:szCs w:val="24"/>
        </w:rPr>
        <w:t xml:space="preserve"> — сухий сік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ізних тропічних рослин, що містить дубильні речовини та барвники. У країнах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івденної Азії його одержують з Pterocarpus marsupium, род. Fabaceae, в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Австрал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ії — з Eucalуptus rostrata, род. Myrtaceae, в Центральній Америці — з Butea frond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sa, род. Fabaceae, При надрізанні з кори витікає темно-червоний сік, який збирають і висушують на сонці. Сік розчиняється у гарячій воді та спирті.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дубильні речовини конденсованої групи. Застосовується внутрішньо і зовнішньо як в’яжуче; </w:t>
      </w:r>
    </w:p>
    <w:p w:rsidR="005A6819" w:rsidRPr="00110A69" w:rsidRDefault="005A6819" w:rsidP="005A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i/>
          <w:sz w:val="24"/>
          <w:szCs w:val="24"/>
        </w:rPr>
        <w:t>корінь ратанії</w:t>
      </w:r>
      <w:r w:rsidRPr="00110A69">
        <w:rPr>
          <w:rFonts w:ascii="Times New Roman" w:hAnsi="Times New Roman" w:cs="Times New Roman"/>
          <w:sz w:val="24"/>
          <w:szCs w:val="24"/>
        </w:rPr>
        <w:t xml:space="preserve"> з Krameria briandra, род. Fabaceae, який містить близько 20 % конденсованих дубильних речовин і велику кількість ратаніє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ї красені (флобафенів), яка нерозчинна у воді. Використовують зовнішньо.</w:t>
      </w:r>
    </w:p>
    <w:p w:rsidR="00FA1E47" w:rsidRPr="00110A69" w:rsidRDefault="00FA1E47" w:rsidP="005A68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</w:p>
    <w:p w:rsidR="00EE11C8" w:rsidRPr="00110A69" w:rsidRDefault="00EE11C8" w:rsidP="00455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6. Біологічна дія дубильних речовин. 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0A69">
        <w:rPr>
          <w:rFonts w:ascii="Times New Roman" w:hAnsi="Times New Roman" w:cs="Times New Roman"/>
          <w:b/>
          <w:i/>
          <w:sz w:val="24"/>
          <w:szCs w:val="24"/>
          <w:lang w:val="uk-UA"/>
        </w:rPr>
        <w:t>Б</w:t>
      </w:r>
      <w:r w:rsidRPr="00110A6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10A69">
        <w:rPr>
          <w:rFonts w:ascii="Times New Roman" w:hAnsi="Times New Roman" w:cs="Times New Roman"/>
          <w:b/>
          <w:i/>
          <w:sz w:val="24"/>
          <w:szCs w:val="24"/>
          <w:lang w:val="uk-UA"/>
        </w:rPr>
        <w:t>олог</w:t>
      </w:r>
      <w:r w:rsidRPr="00110A6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10A69">
        <w:rPr>
          <w:rFonts w:ascii="Times New Roman" w:hAnsi="Times New Roman" w:cs="Times New Roman"/>
          <w:b/>
          <w:i/>
          <w:sz w:val="24"/>
          <w:szCs w:val="24"/>
          <w:lang w:val="uk-UA"/>
        </w:rPr>
        <w:t>чна д</w:t>
      </w:r>
      <w:r w:rsidRPr="00110A6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10A69">
        <w:rPr>
          <w:rFonts w:ascii="Times New Roman" w:hAnsi="Times New Roman" w:cs="Times New Roman"/>
          <w:b/>
          <w:i/>
          <w:sz w:val="24"/>
          <w:szCs w:val="24"/>
          <w:lang w:val="uk-UA"/>
        </w:rPr>
        <w:t>я та застосування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  <w:lang w:val="uk-UA"/>
        </w:rPr>
        <w:t xml:space="preserve">Експериментальні та клінічні дані, зібрані на цей час, свідчать, що реально існують, як мінімум, три види біологічної дії рослинних поліфенолів на організм ссавців. По-перше, безпосередня дія на клітинні мембрани, гладком’язові клітини, на ферментні білки і нуклеїнові кислоти.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По-друге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, дія на обмін біологічно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активних речовин — адреналіну, аскорбінової кислоти, ацетилхоліну. По-трет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вплив на ведучі системи нейрогуморальної і нейроендокринної регуляції.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>Постійно надходячи до організму людини з рослинною їжею,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 xml:space="preserve">поліфеноли тривало впливають на всі відділи травного тракту, а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ісля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всмоктування у кров — на серцево-судинну систему, нирки, інші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органи та системи. Основними джерелами поліфенолі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у нашій їжі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є плоди, ягоди. Поліфеноли у великій кількості містяться в чаї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, </w:t>
      </w:r>
      <w:r w:rsidRPr="00110A69">
        <w:rPr>
          <w:rFonts w:ascii="Times New Roman" w:hAnsi="Times New Roman" w:cs="Times New Roman"/>
          <w:sz w:val="24"/>
          <w:szCs w:val="24"/>
        </w:rPr>
        <w:t xml:space="preserve">каві, какао, а також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настоях та відварах з рослинної сировини.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>Найактивнішими щодо впливу на проникність судин є катехіни та флаван-3,4-діоли.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Дубильні речовини, які надходять до організму, діють на слизову оболонку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травного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тракту, моторику, секреторну та засвоювальну функції. Вони мають в’яжучий смак та сприяють утворенню тонкого шару ущільненого білка. Це знижує подразнення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слизової оболонки та усуває поверхневі ерозії, виразки. Рослинні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поліфеноли суттєво знижують токсичну дію хі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ічних агентів. Першочергова роль у цьому відводиться механізму ущільнення клітинних мембран, що зашкоджує надходженню токсичних речовин до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життєво важливих органів, допомагає збереженню ендогенної аскорбінової кислоти і глікогену.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Протизапальна дія поліфенолів сприяє загоєнню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ібних ран.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ід впливом їх особливо ефективно зменшується і навіть усувається ексудативний компонент запальної реакції, що легко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пояснити з урахуванням дії фенолів, які ущільнюють мембрани.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Поліфенольні сполуки мобілізують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живому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організмі власні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механізми гомеостазу, стимулюють функцію кори надниркових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 xml:space="preserve">залоз, глюкокортикоїдні гормони, завдяки чому виявляють протизапальну активність і пов’язану з нею протимікробну, протигрибкову та протистоцидну активність. Поліфеноли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тканинах рослин і тварин виконують захисну функцію, найважливішим елементом якої є антиокислювальний ефект. У ході окислювальних реакцій в організмі утворюються вільні радикали, що при взаємодії з тканинними лі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ідами дають токсичні ліпідні перекиси, оксиди, які уповільнюють розмноження клітин. Рівень тканинних антиоксидантів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ідіграє суттєву роль у процесі росту злоякісних клітин.</w:t>
      </w:r>
    </w:p>
    <w:p w:rsidR="00FA1E47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Фенольні сполуки, які здатні до утворення форм, що зворотньо окислюються (фенол </w:t>
      </w:r>
      <w:r w:rsidRPr="00110A69">
        <w:rPr>
          <w:rFonts w:ascii="Times New Roman" w:eastAsia="MSTT3185ae213aO43321202" w:hAnsi="Times New Roman" w:cs="Times New Roman"/>
          <w:sz w:val="24"/>
          <w:szCs w:val="24"/>
        </w:rPr>
        <w:t xml:space="preserve">→ </w:t>
      </w:r>
      <w:r w:rsidRPr="00110A69">
        <w:rPr>
          <w:rFonts w:ascii="Times New Roman" w:hAnsi="Times New Roman" w:cs="Times New Roman"/>
          <w:sz w:val="24"/>
          <w:szCs w:val="24"/>
        </w:rPr>
        <w:t xml:space="preserve">семихінон </w:t>
      </w:r>
      <w:r w:rsidRPr="00110A69">
        <w:rPr>
          <w:rFonts w:ascii="Times New Roman" w:eastAsia="MSTT3185ae213aO43321202" w:hAnsi="Times New Roman" w:cs="Times New Roman"/>
          <w:sz w:val="24"/>
          <w:szCs w:val="24"/>
        </w:rPr>
        <w:t xml:space="preserve">→ </w:t>
      </w:r>
      <w:r w:rsidRPr="00110A69">
        <w:rPr>
          <w:rFonts w:ascii="Times New Roman" w:hAnsi="Times New Roman" w:cs="Times New Roman"/>
          <w:sz w:val="24"/>
          <w:szCs w:val="24"/>
        </w:rPr>
        <w:t xml:space="preserve">хінон), інгібують активність тіолових ферментів. Однак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lastRenderedPageBreak/>
        <w:t xml:space="preserve">єдиний молекулярний механізм біологічної дії поліфенолів. Доведений вплив поліфенолів на активність окислювально-відновних ферментів, особливо в формі семихінон </w:t>
      </w:r>
      <w:r w:rsidRPr="00110A69">
        <w:rPr>
          <w:rFonts w:ascii="Times New Roman" w:eastAsia="MSTT3185ae213aO43321202" w:hAnsi="Times New Roman" w:cs="Times New Roman"/>
          <w:sz w:val="24"/>
          <w:szCs w:val="24"/>
        </w:rPr>
        <w:t xml:space="preserve">→ </w:t>
      </w:r>
      <w:r w:rsidRPr="00110A69">
        <w:rPr>
          <w:rFonts w:ascii="Times New Roman" w:hAnsi="Times New Roman" w:cs="Times New Roman"/>
          <w:sz w:val="24"/>
          <w:szCs w:val="24"/>
        </w:rPr>
        <w:t>хінон. Вивчена і достовірно встановлена пригнічуюча дія поліфенолі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на десятки ензимів.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 xml:space="preserve">Дубильні речовини знайшли широке використання в медичній практиці.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виявляють в’яжучу, протизапальну і антимікробну дію. Препарати, що містять дубильні речовини, застосовують внутрішньо при гострих і хронічних колітах, ентеритах, гастритах, іноді як кровоспинний засіб при маткових та гемороїдальних кровотечах. Широко використовують дубильні речовини при запальних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процесах ротової порожнини, гортані, носа у вигляді полоскань,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 xml:space="preserve">а також при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>іках, пролежнях, виразках у вигляді зрошень т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а </w:t>
      </w:r>
      <w:r w:rsidRPr="00110A69">
        <w:rPr>
          <w:rFonts w:ascii="Times New Roman" w:hAnsi="Times New Roman" w:cs="Times New Roman"/>
          <w:sz w:val="24"/>
          <w:szCs w:val="24"/>
        </w:rPr>
        <w:t>змащувань. Хоча властивість зміцнювати капіляри мають всі поліфеноли, протигеморагічний ефект рослинних речовин, можливо,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 xml:space="preserve">зумовлений не тільки їхнім впливом на судини, </w:t>
      </w:r>
      <w:proofErr w:type="gramStart"/>
      <w:r w:rsidRPr="00110A69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110A69">
        <w:rPr>
          <w:rFonts w:ascii="Times New Roman" w:hAnsi="Times New Roman" w:cs="Times New Roman"/>
          <w:sz w:val="24"/>
          <w:szCs w:val="24"/>
        </w:rPr>
        <w:t xml:space="preserve"> пов’язаний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з посиленням згортання крові.</w:t>
      </w:r>
    </w:p>
    <w:p w:rsidR="005A6819" w:rsidRPr="00110A69" w:rsidRDefault="005A6819" w:rsidP="0045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69">
        <w:rPr>
          <w:rFonts w:ascii="Times New Roman" w:hAnsi="Times New Roman" w:cs="Times New Roman"/>
          <w:sz w:val="24"/>
          <w:szCs w:val="24"/>
        </w:rPr>
        <w:t>Катехіни призначають як Р-вітамінні засоби. Встановлена радіопротекторна дія більшості дубильних речовин, а також</w:t>
      </w:r>
      <w:r w:rsidR="00455854" w:rsidRPr="00110A69">
        <w:rPr>
          <w:rFonts w:ascii="Times New Roman" w:hAnsi="Times New Roman" w:cs="Times New Roman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sz w:val="24"/>
          <w:szCs w:val="24"/>
        </w:rPr>
        <w:t>здатність їх до видалення з організму радіоактивних ізотопів цезію та стронцію.</w:t>
      </w:r>
    </w:p>
    <w:p w:rsidR="005A6819" w:rsidRPr="00110A69" w:rsidRDefault="005A6819" w:rsidP="005A68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6866" w:rsidRPr="00110A69" w:rsidRDefault="00EE11C8" w:rsidP="00FA1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7. Основні рослини, які знайшли застосування в медицині та </w:t>
      </w:r>
      <w:proofErr w:type="gramStart"/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>народному</w:t>
      </w:r>
      <w:proofErr w:type="gramEnd"/>
      <w:r w:rsidRPr="00110A6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господарстві.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Сировина та фітопрепарати,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 яких містяться дубильні речовини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Folia Cotini coggygriae — листя скумпії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Заготовлене у період від початку цвітіння до утворення плодів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і висушене листя дикорослого і культивованого куща або невеликого дерева — скумпії звичайної —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otinus coggygria Scop. (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Rhus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cotinus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L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.), род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умахових —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Anacardiaceae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Зовнішні ознаки. Листки округлі або овальні,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ідше обернено-яйцевидні, верхівки притуплені або виїмчасті, біля основи округлі,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рідше клиноподібні; довгочерешкові, цілокраї, голі, жилкування перисте, жилки зісподу сильно видаються. Довжина листкової пластинки 3 – 12 см, ширина 2 – 6 см. Колі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пластинок зверху зелений,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зісподу матовий, іноді з червоно-фіолетовим або жовтуватим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відтінком; черешка і головної жилки — світло-зелений, частіше з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бурувато-фіолетовим відтінком. Запах ароматний. Смак в’яжучий.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Вмі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ст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таніну має становити не менше 15 %, флавоноїдів — не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менше 1 % (ГОСТ 4564-79).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Застосування. Листя використовують для промислового виробництва таніну, а на його основі — “Тансалу” і “Танальбіну”; із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флавоноїдів виготовляють препарат “Флакумін” жовчогінної дії.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Rhizomata et radices Sanguisorbae —</w:t>
      </w:r>
      <w:r w:rsidR="002455B6" w:rsidRPr="00110A6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кореневище і корені родовика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Заготовлені восени і висушені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ідземні органи дикорослої багаторічної трав’янистої рослини — родовика лікарського —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Sanguisorba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officinalis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L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., род. розових — </w:t>
      </w:r>
      <w:r w:rsidRPr="00110A69">
        <w:rPr>
          <w:rFonts w:ascii="Times New Roman" w:hAnsi="Times New Roman" w:cs="Times New Roman"/>
          <w:color w:val="231F20"/>
          <w:sz w:val="24"/>
          <w:szCs w:val="24"/>
          <w:lang w:val="en-US"/>
        </w:rPr>
        <w:t>Rosaceae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A6E69" w:rsidRPr="00110A69" w:rsidRDefault="00AA6E69" w:rsidP="0024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Зовнішні ознаки. Кореневища здерев’янілі з небагатьма коренями,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що від них відходять. Довжина кореневищ і коренів до 20 см, товщина</w:t>
      </w:r>
      <w:r w:rsidR="002455B6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кореневищ 0,5 – 2,5 см, коренів 0,3 – 1,5 см. Поверхня їх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гладенька</w:t>
      </w:r>
      <w:proofErr w:type="gramEnd"/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або поздовжньо зморшкувата. Злам кореневища нерівний, коренів —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івніший. Колі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зовні темно-бурий, майже чорний, на зламі жовтуватий або бурувато-жовтий. Запаху нема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є.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Смак в’яжучий.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Якісні реакції. Водний відвар кореневищ і коренів (1:10) з розчином залізоамонієвих галунів або заліза III хлориду утворює інтенсивне синьо-чорне забарвлення (дубильні речовини).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Вмі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ст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дубильних речовин має бути не меншим за 14 %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(ФС 42-1082-76).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Застосування. Із сировини виготовляють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ідкий екстракт —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в’яжучий і кровоспинний засіб при проносах і маткових кровотечах.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Fructus Alni — плоди вільхи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Заготовлен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 восени і взимку висушені плоди дикорослого однодомного дерева або куща — вільхи сірої (в. біла) — Alnus incana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(L.) Moench і вільхи клейкої (в. чорна) — Alnus glutinosa (L.) Gaertn.,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род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б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ерезових — Betulaceae.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Зовнішні ознаки. Здерев’янілі чорні супліддя “шишки” овальної або яйцевидної форми, розміщені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кілька штук на спільній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плодоніжці або окремо. На твердому стрижні густо розміщені віялоподібні лусочки з потовщеним, дещо лопатевим зовнішнім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краєм. У пазухах лусочок знаходяться однонасінні двокрилі сплюснуті плоди —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горішки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. Довжина супліддя до 2 см, діаметр до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1,3 см.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Колі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суплідь темно-бурий або темно-коричневий. Запах слабкий. Смак в’яжучий.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Якісні реакції. До 2 мл відвару (1:10) подрібнених суплідь додають 2 краплі розчину залізоамонієвих галунів; з’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являється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чорно-синє забарвлення, яке швидко переходить у чорне (дубильні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речовини).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Вмі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ст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дубильних речовин має становити не менше 10 % (ДФ ХI,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ст. 28).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Застосування. В’яжучий засіб. Входить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складу шлункових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зборів. Виготовляють препарат “Альтан” протизапальної, кровоспинної дії. Екстракт вільхи входить до складу препарату “Камілаль”.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Fructus Myrtilli — плоди чорниці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b/>
          <w:color w:val="231F20"/>
          <w:sz w:val="24"/>
          <w:szCs w:val="24"/>
        </w:rPr>
        <w:t>Cormi Vaccinii myrtilli — пагони чорниці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ібрані стиглі і висушені плоди, а також зібрані до закінчення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плодоношення і висушені верхівки пагонів дикорослого кущика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чорниці — Vaccinium myrtillus L., род. вересових — Ericaceae.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Зовнішні ознаки. Плоди. Ягоди діаметром 3 – 6 мм, дуже зморщені, у розмоченому вигляді кулясті. На верхівці плода видно з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лишки чашечки і стовпчика у центрі, після відпадання останнього залишається невелике поглиблення.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Колі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плодів чорний з червонуватим відтінком, матовий або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злегка блискучий. М’якоть червоно-фіолетового кольору, з численним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ібним яйцевидної форми, червоно-бурого кольору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насінням. Запах слабкий. Смак кисло-солодкий, трохи в’яжучий.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Якісні реакції. Відвар плодів чорниці (1:10) має темно-фіолетовий колір.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При додаванні до відвару декількох крапель 10 %-го розчину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натрію гідроксиду з’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являється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оливково-зелене забарвлення.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При додаванні до відвару декількох крапель розчину свинцю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ацетату основного утворюється аморфний осад, частково розчинний у кислотах; при цьому розчин забарвлюється у рожевий або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червоний колі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(антоціани).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При додаванні до відвару декількох крапель залізоамонієвих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галунів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ін набуває чорно-зеленого забарвлення (дубильні речовини) (ДФ ХI, ст. 35).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Пагони. Суміш цілих або зламаних верхівок пагонів, окремих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стебел, листків,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>ідше пуп’янків, квіток і плодів. Стебла довжиною до 15 см. Смак гіркувато-в’яжучий.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Якісні реакції. Відвар пагонів з розчином залізоамонієвих галунів утворює чорно-синє забарвлення (дуб</w:t>
      </w:r>
      <w:bookmarkStart w:id="0" w:name="_GoBack"/>
      <w:bookmarkEnd w:id="0"/>
      <w:r w:rsidRPr="00110A69">
        <w:rPr>
          <w:rFonts w:ascii="Times New Roman" w:hAnsi="Times New Roman" w:cs="Times New Roman"/>
          <w:color w:val="231F20"/>
          <w:sz w:val="24"/>
          <w:szCs w:val="24"/>
        </w:rPr>
        <w:t>ильні речовини).</w:t>
      </w:r>
    </w:p>
    <w:p w:rsidR="00AA6E69" w:rsidRPr="00110A69" w:rsidRDefault="00AA6E69" w:rsidP="005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>Вмі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ст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дубильних речовин — не менше 3,5 % (ТФС 42-1609-86).</w:t>
      </w:r>
    </w:p>
    <w:p w:rsidR="00AA6E69" w:rsidRPr="00110A69" w:rsidRDefault="00AA6E69" w:rsidP="0014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Застосування. Плоди чорниці — в’яжучий засіб при діареї, колітах, ентероколітах. Пагони входять </w:t>
      </w:r>
      <w:proofErr w:type="gramStart"/>
      <w:r w:rsidRPr="00110A69"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  <w:r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складу протидіабетичного</w:t>
      </w:r>
      <w:r w:rsidR="00145425" w:rsidRPr="00110A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0A69">
        <w:rPr>
          <w:rFonts w:ascii="Times New Roman" w:hAnsi="Times New Roman" w:cs="Times New Roman"/>
          <w:color w:val="231F20"/>
          <w:sz w:val="24"/>
          <w:szCs w:val="24"/>
        </w:rPr>
        <w:t>збору “Арфазетин”.</w:t>
      </w:r>
    </w:p>
    <w:p w:rsidR="00FA1E47" w:rsidRPr="00110A69" w:rsidRDefault="00FA1E47">
      <w:pPr>
        <w:rPr>
          <w:rFonts w:ascii="Times New Roman" w:hAnsi="Times New Roman" w:cs="Times New Roman"/>
          <w:color w:val="231F20"/>
          <w:sz w:val="24"/>
          <w:szCs w:val="24"/>
        </w:rPr>
      </w:pPr>
    </w:p>
    <w:sectPr w:rsidR="00FA1E47" w:rsidRPr="00110A69" w:rsidSect="0022594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CB" w:rsidRDefault="009E5CCB" w:rsidP="00D83764">
      <w:pPr>
        <w:spacing w:after="0" w:line="240" w:lineRule="auto"/>
      </w:pPr>
      <w:r>
        <w:separator/>
      </w:r>
    </w:p>
  </w:endnote>
  <w:endnote w:type="continuationSeparator" w:id="0">
    <w:p w:rsidR="009E5CCB" w:rsidRDefault="009E5CCB" w:rsidP="00D8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PHLO+Romul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KBXJLU+MinionCyr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TT3185ae213aO4332120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CB" w:rsidRDefault="009E5CCB" w:rsidP="00D83764">
      <w:pPr>
        <w:spacing w:after="0" w:line="240" w:lineRule="auto"/>
      </w:pPr>
      <w:r>
        <w:separator/>
      </w:r>
    </w:p>
  </w:footnote>
  <w:footnote w:type="continuationSeparator" w:id="0">
    <w:p w:rsidR="009E5CCB" w:rsidRDefault="009E5CCB" w:rsidP="00D8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776299"/>
      <w:docPartObj>
        <w:docPartGallery w:val="Page Numbers (Top of Page)"/>
        <w:docPartUnique/>
      </w:docPartObj>
    </w:sdtPr>
    <w:sdtEndPr/>
    <w:sdtContent>
      <w:p w:rsidR="005A6819" w:rsidRDefault="005A6819">
        <w:pPr>
          <w:pStyle w:val="a6"/>
          <w:jc w:val="right"/>
        </w:pPr>
        <w:r w:rsidRPr="00D83764">
          <w:rPr>
            <w:rFonts w:ascii="Times New Roman" w:hAnsi="Times New Roman" w:cs="Times New Roman"/>
          </w:rPr>
          <w:fldChar w:fldCharType="begin"/>
        </w:r>
        <w:r w:rsidRPr="00D83764">
          <w:rPr>
            <w:rFonts w:ascii="Times New Roman" w:hAnsi="Times New Roman" w:cs="Times New Roman"/>
          </w:rPr>
          <w:instrText xml:space="preserve"> PAGE   \* MERGEFORMAT </w:instrText>
        </w:r>
        <w:r w:rsidRPr="00D83764">
          <w:rPr>
            <w:rFonts w:ascii="Times New Roman" w:hAnsi="Times New Roman" w:cs="Times New Roman"/>
          </w:rPr>
          <w:fldChar w:fldCharType="separate"/>
        </w:r>
        <w:r w:rsidR="00110A69">
          <w:rPr>
            <w:rFonts w:ascii="Times New Roman" w:hAnsi="Times New Roman" w:cs="Times New Roman"/>
            <w:noProof/>
          </w:rPr>
          <w:t>1</w:t>
        </w:r>
        <w:r w:rsidRPr="00D83764">
          <w:rPr>
            <w:rFonts w:ascii="Times New Roman" w:hAnsi="Times New Roman" w:cs="Times New Roman"/>
          </w:rPr>
          <w:fldChar w:fldCharType="end"/>
        </w:r>
      </w:p>
    </w:sdtContent>
  </w:sdt>
  <w:p w:rsidR="005A6819" w:rsidRDefault="005A68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4C7"/>
    <w:rsid w:val="00003D00"/>
    <w:rsid w:val="00066866"/>
    <w:rsid w:val="00084183"/>
    <w:rsid w:val="000915E1"/>
    <w:rsid w:val="001044C7"/>
    <w:rsid w:val="00110A69"/>
    <w:rsid w:val="001120DC"/>
    <w:rsid w:val="00133E6B"/>
    <w:rsid w:val="0013492A"/>
    <w:rsid w:val="00145425"/>
    <w:rsid w:val="00151159"/>
    <w:rsid w:val="00151D1B"/>
    <w:rsid w:val="001927B4"/>
    <w:rsid w:val="00225944"/>
    <w:rsid w:val="002455B6"/>
    <w:rsid w:val="002541AA"/>
    <w:rsid w:val="002544BE"/>
    <w:rsid w:val="002E7A86"/>
    <w:rsid w:val="0032462D"/>
    <w:rsid w:val="00371EC6"/>
    <w:rsid w:val="003915B0"/>
    <w:rsid w:val="003A73C6"/>
    <w:rsid w:val="00455854"/>
    <w:rsid w:val="00467AD6"/>
    <w:rsid w:val="004A632C"/>
    <w:rsid w:val="004B2C71"/>
    <w:rsid w:val="004E08E7"/>
    <w:rsid w:val="00515875"/>
    <w:rsid w:val="00536BF2"/>
    <w:rsid w:val="00545353"/>
    <w:rsid w:val="0055667E"/>
    <w:rsid w:val="005A671C"/>
    <w:rsid w:val="005A6819"/>
    <w:rsid w:val="005A6E5D"/>
    <w:rsid w:val="005A7FC6"/>
    <w:rsid w:val="005E34D2"/>
    <w:rsid w:val="005F7178"/>
    <w:rsid w:val="00696F0F"/>
    <w:rsid w:val="006A15FE"/>
    <w:rsid w:val="006E3236"/>
    <w:rsid w:val="00787EE9"/>
    <w:rsid w:val="007A6FEE"/>
    <w:rsid w:val="007C2827"/>
    <w:rsid w:val="007E594B"/>
    <w:rsid w:val="008541AD"/>
    <w:rsid w:val="00855A78"/>
    <w:rsid w:val="00876BD6"/>
    <w:rsid w:val="00890E93"/>
    <w:rsid w:val="008B7122"/>
    <w:rsid w:val="008E7D1D"/>
    <w:rsid w:val="008F3790"/>
    <w:rsid w:val="00900315"/>
    <w:rsid w:val="009452E8"/>
    <w:rsid w:val="00945C8D"/>
    <w:rsid w:val="009A1881"/>
    <w:rsid w:val="009D0256"/>
    <w:rsid w:val="009D1285"/>
    <w:rsid w:val="009E5CCB"/>
    <w:rsid w:val="00A07F6F"/>
    <w:rsid w:val="00AA6E69"/>
    <w:rsid w:val="00AA7ED6"/>
    <w:rsid w:val="00AD6E81"/>
    <w:rsid w:val="00AF084C"/>
    <w:rsid w:val="00B10900"/>
    <w:rsid w:val="00B20F05"/>
    <w:rsid w:val="00B3248D"/>
    <w:rsid w:val="00B44C91"/>
    <w:rsid w:val="00B76F79"/>
    <w:rsid w:val="00BA338E"/>
    <w:rsid w:val="00BB769D"/>
    <w:rsid w:val="00BD2BC3"/>
    <w:rsid w:val="00BE055B"/>
    <w:rsid w:val="00C54F52"/>
    <w:rsid w:val="00C63B19"/>
    <w:rsid w:val="00D0547C"/>
    <w:rsid w:val="00D62FBB"/>
    <w:rsid w:val="00D83764"/>
    <w:rsid w:val="00E56E36"/>
    <w:rsid w:val="00E86633"/>
    <w:rsid w:val="00EE11C8"/>
    <w:rsid w:val="00EE47EF"/>
    <w:rsid w:val="00EF1284"/>
    <w:rsid w:val="00F34B1B"/>
    <w:rsid w:val="00F469BF"/>
    <w:rsid w:val="00F51739"/>
    <w:rsid w:val="00F6527B"/>
    <w:rsid w:val="00F65557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764"/>
  </w:style>
  <w:style w:type="paragraph" w:styleId="a8">
    <w:name w:val="footer"/>
    <w:basedOn w:val="a"/>
    <w:link w:val="a9"/>
    <w:uiPriority w:val="99"/>
    <w:semiHidden/>
    <w:unhideWhenUsed/>
    <w:rsid w:val="00D8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764"/>
  </w:style>
  <w:style w:type="paragraph" w:customStyle="1" w:styleId="Pa8">
    <w:name w:val="Pa8"/>
    <w:basedOn w:val="Default"/>
    <w:next w:val="Default"/>
    <w:uiPriority w:val="99"/>
    <w:rsid w:val="00084183"/>
    <w:pPr>
      <w:spacing w:line="281" w:lineRule="atLeast"/>
    </w:pPr>
    <w:rPr>
      <w:rFonts w:ascii="ATPHLO+Romul" w:hAnsi="ATPHLO+Romul" w:cstheme="minorBidi"/>
      <w:color w:val="auto"/>
    </w:rPr>
  </w:style>
  <w:style w:type="character" w:customStyle="1" w:styleId="A13">
    <w:name w:val="A13"/>
    <w:uiPriority w:val="99"/>
    <w:rsid w:val="00084183"/>
    <w:rPr>
      <w:rFonts w:ascii="KBXJLU+MinionCyr-Semibold" w:hAnsi="KBXJLU+MinionCyr-Semibold" w:cs="KBXJLU+MinionCyr-Semibold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5047-D59C-4B44-A924-FB6A63E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37</cp:revision>
  <dcterms:created xsi:type="dcterms:W3CDTF">2016-09-29T12:13:00Z</dcterms:created>
  <dcterms:modified xsi:type="dcterms:W3CDTF">2018-04-25T06:50:00Z</dcterms:modified>
</cp:coreProperties>
</file>