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1C2E" w14:textId="5C88A279" w:rsidR="00CD5839" w:rsidRDefault="009B3E11" w:rsidP="009B3E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2.</w:t>
      </w:r>
    </w:p>
    <w:p w14:paraId="00CDD38D" w14:textId="21E419F3" w:rsidR="009B3E11" w:rsidRDefault="009B3E11" w:rsidP="009B3E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3E11">
        <w:rPr>
          <w:rFonts w:ascii="Times New Roman" w:hAnsi="Times New Roman" w:cs="Times New Roman"/>
          <w:sz w:val="24"/>
          <w:szCs w:val="24"/>
          <w:lang w:val="uk-UA"/>
        </w:rPr>
        <w:t>ЗАГАЛЬНОЄВРОПЕЙСЬКІ ТА СУБРЕГІОНАЛЬНІ ОРГАНІЗАЦІЇ ЯК ІНСТРУМЕНТИ МІЖНАРОДНОЇ ПОЛІТИКИ</w:t>
      </w:r>
    </w:p>
    <w:p w14:paraId="46C44DA7" w14:textId="73E3D95B" w:rsidR="009B3E11" w:rsidRDefault="009B3E11" w:rsidP="009B3E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FA19E9" w14:textId="77777777" w:rsidR="009B3E11" w:rsidRPr="009B3E11" w:rsidRDefault="009B3E11" w:rsidP="009B3E1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Американці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з Марсу, а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європейці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Венери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. З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погляду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філософії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вони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живуть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різних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планетах. Роберт Каган</w:t>
      </w:r>
    </w:p>
    <w:p w14:paraId="3D5F810A" w14:textId="77777777" w:rsidR="009B3E11" w:rsidRPr="009B3E11" w:rsidRDefault="009B3E11" w:rsidP="009B3E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Євросоюз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іноземна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влада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, яка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захопила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держави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Європа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не «вони»,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Європа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«ми».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Європа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рухається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, як і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світ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, у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бік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багатополярного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економічного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світу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. Жозе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Мануель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Баррозу</w:t>
      </w:r>
    </w:p>
    <w:p w14:paraId="49C84706" w14:textId="77777777" w:rsidR="009B3E11" w:rsidRPr="009B3E11" w:rsidRDefault="009B3E11" w:rsidP="009B3E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ЄС –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економічний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гігант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політичний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карлик і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військовий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хробак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. Марк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Ейскенс</w:t>
      </w:r>
      <w:proofErr w:type="spellEnd"/>
    </w:p>
    <w:p w14:paraId="7F466E56" w14:textId="4C03D326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§ 1.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Загальна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організаційна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структура та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основні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напрямки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загальноєвропейських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організацій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(Рада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Організація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(ОБСЄ),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Союз (ЄС)). </w:t>
      </w:r>
    </w:p>
    <w:p w14:paraId="3E53A3AF" w14:textId="77777777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Західноєвропейський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Союз (ЗЄС).</w:t>
      </w:r>
    </w:p>
    <w:p w14:paraId="132ADEC6" w14:textId="77777777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§ 3.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Спільна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зовнішня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політика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Західної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B4B3460" w14:textId="77777777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§ 4.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НАТО – ЗЄС та ЄС. </w:t>
      </w:r>
    </w:p>
    <w:p w14:paraId="38C1DF13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§ 1.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організаційна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структура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напрямки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загальноєвропейських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організацій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(Рада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Організація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(ОБСЄ),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Союз (ЄС))</w:t>
      </w:r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2FB8D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заснована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промови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Уінстона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Черчилля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Університеті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Цюріху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 вересня 1946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незабаром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котрій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закликав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зразок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Америки.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заснована 5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1949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Лондонською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десятьма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країнами-засновниками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Бельгія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Нідерланди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Люксембург,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Велика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відомий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Статут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метою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плюралізму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верховенства права,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досягається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згода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291 члена, яка робить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функціонує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форум.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заходи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членами.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уклала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165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міжурядових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конвенцій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свобод;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культурна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хартія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1993 р.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підкреслила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абсолютна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плюралістичної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неподільності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універсальності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верховенства права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збагаченої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різноманітністю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і,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по-друге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серйозний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ґрунті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методі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допомагатимуть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запобігати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знаходити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долати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численні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ризики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Окрім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тоталітарного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масові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свобод і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належить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дискримінація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якоїсь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верховенства права;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агресивний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націоналізм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расизм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нетерпимість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міжетнічне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напруження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тероризм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організована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злочинність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дезінтеграція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розшарування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напруження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місцевому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регіональному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провела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Страсбурзі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10-11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1997 p.,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50-ї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річниці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1999 р.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План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культурного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різноманіття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1 лютого 1998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Рамкова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конвенція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того, з 1 листопада 1998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Протоколу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нового широкомасштабного Суду з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Комісара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процедуру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спрямованого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контроль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взяті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державами-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учасницями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Конфіденційний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конструктивний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недискримінаційний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проходить як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урядовому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Комітеті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так і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Значне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досягнуте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конвенцій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демонструють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країн-учасниць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покликані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уникати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ліній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розбудовувати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цивілізацію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сферах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доповнюють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намагається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втілювати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і ОБСЄ.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створено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Римського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1957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Бельгією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Люксембургом,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Нідерландами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1973 р.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приєдналися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у 1981 р.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Греція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у 1986 р.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в 1995 р.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Переговори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завершила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загальнонаціонального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референдуму 27-28 листопада 1994 р. 52,5%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норвежців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взяли участь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проголосували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членства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останнього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ЄС вступили 2004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Естонія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Кіпр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Латвія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Литва, Мальта,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Польща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Словаччина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Словенія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Чехія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в 2007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Болгарія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Румунія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9-10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1991 р.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Маастрихті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уклали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монетарний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набув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 листопада 1993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ратифікації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сторонами. 15-16 червня 1997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стосувалися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майбутньої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далеко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ЄС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найбільший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суб’єкт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фінансовим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донором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 одним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Близького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Сходу.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тривалого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миру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колишній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яку проводить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сільське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рибальство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Роль ЄС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посилиться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монетарного союзу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валюти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приділяє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велику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аспектам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характер. Як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сумісність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цілями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визначав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стратегію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країн-кандидатів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членства,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Основу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європейсько-середземноморського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партнерства,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закладено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Барселонській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1995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бралися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глав держав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10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азіатських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 у Бангкоку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1996 p., де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започатковано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Азія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останнього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середньотермінового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перегляду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Ломе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Африки,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Карибського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Тихоокеанського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басейнів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аспектах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співпрацює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Південної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Америки. До того ж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Штатами Америки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прямі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переговори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Генеральної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угоди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тарифи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торгівлю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Плану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– США.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початку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колишній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розпаду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Югославської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Федерації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спробах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відновити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мир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спрямувати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гуманітарну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громад,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Лондонська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відбулась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1992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співголовуванням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Генерального секретаря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прем’єр-міністра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(на той час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ради),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ЄС новою формою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перший приклад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здійсненої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Нового дипломатичного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посла Карлоса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Уестендорпа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призначено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відставки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попередника Карла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Більдта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прем’єр-міністра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Карлоса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Уестендорпа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влітку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замінив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Вольфганг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Петріш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колишній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посол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посланець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Бєлграді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Союз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базується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трьох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«опорах»:</w:t>
      </w:r>
    </w:p>
    <w:p w14:paraId="3F6EABD3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9B3E11">
        <w:rPr>
          <w:rFonts w:ascii="Times New Roman" w:hAnsi="Times New Roman" w:cs="Times New Roman"/>
          <w:sz w:val="24"/>
          <w:szCs w:val="24"/>
        </w:rPr>
        <w:sym w:font="Symbol" w:char="F020"/>
      </w:r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співтовариство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основу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ринку,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монетарної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рибальства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т.д.;</w:t>
      </w:r>
    </w:p>
    <w:p w14:paraId="06E40FCA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B3E11">
        <w:rPr>
          <w:rFonts w:ascii="Times New Roman" w:hAnsi="Times New Roman" w:cs="Times New Roman"/>
          <w:sz w:val="24"/>
          <w:szCs w:val="24"/>
        </w:rPr>
        <w:sym w:font="Symbol" w:char="F020"/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(CFSP);</w:t>
      </w:r>
    </w:p>
    <w:p w14:paraId="510DBE7F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9B3E11">
        <w:rPr>
          <w:rFonts w:ascii="Times New Roman" w:hAnsi="Times New Roman" w:cs="Times New Roman"/>
          <w:sz w:val="24"/>
          <w:szCs w:val="24"/>
        </w:rPr>
        <w:sym w:font="Symbol" w:char="F020"/>
      </w:r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юстиція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-членами ЄС у таких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цивільне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кримінальне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право,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імміграційна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притулку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прикордонний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контроль,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торгівлею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наркотиками,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DC95A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(ОБСЄ, англ.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OSCE) – до 1995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називалася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Нарадою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(НБСЄ).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започатковано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консультативний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орган,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ввійшли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Азії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Америки.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1995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статусу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розпочатого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1972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1975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укладено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Гельсінський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Заключний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акт.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широке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коло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регулюють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державами-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учасницями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ними, особливо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політично-військовій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свобод,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культурній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технічній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науковій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Знаменною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віхою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став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Стокгольмський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документ 1986 р. про заходи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доповнені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розвинуті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документах,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1990 і 1992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Гельсінській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1992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країни-учасниці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заснувати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Форум НБСЄ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(FSC),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переговори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контролю над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озброєннями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Упродовж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органу,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введено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22 вересня 1992 р.,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тривали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переговори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пакету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 мандатом,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узгодженим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Гельсінкі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термінових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контролю над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озброєннями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руслі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термінових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узгоджені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1994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напередодні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Будапешті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: нова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редакція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Віденського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документа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Віденський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документ-94),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колишні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Стокгольмський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Віденський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обіймала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тексти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оборони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узгоджені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1993 р.,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документ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глобальний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Підсумковий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увібрав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себе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Керівні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непоширення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став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кроком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узгодженні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політично-військових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включено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суттєві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демократичного контролю над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збройними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силами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руслі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контролю над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звичайними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озброєннями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Парижі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 листопада 1990 р. 22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тодішньої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Варшавського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далекосяжний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звичайні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збройні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(ЗЗСЄ),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обмежує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категорію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Атлантичного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океану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Уральських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набув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9 листопада 1992 р. 10 липня 1992 р. в рамках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Гельсінського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Заключний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акт Договору ЗЗСЄ – 1А,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вводились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звичайних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запроваджувались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стабілізаційні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заходи.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форумом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регулярних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країн-учасниць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НБСЄ, заснована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Паризькою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хартією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21 листопада 1990 р. главами держав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тодішніх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країн-учасниць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НБСЄ.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Хартії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створено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старших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посадовців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відповідальний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 три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Секретаріат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увійшов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Секретаріату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Центр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Бюро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(Варшава),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перейменоване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Бюро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19 червня 1991 р.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Берліні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перше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справ. Рада затвердила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НБСЄ. 9 липня 1992 р.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заключному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Гельсінкі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країн-учасниць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Гельсінського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відображала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досягнуту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посади Верховного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комісара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ознайомлювальних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візитів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доповідачів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14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1992 р. на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Стокгольмі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Конвенцію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примирення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арбітраж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рамках НБСЄ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заснувати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посаду Генерального секретаря.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1993 р.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схвалила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організаційні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структур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став першим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органом НБСЄ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Секретаріату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Перейменування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1994 р.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Будапешті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Тут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заміну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старших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посадовців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Вищою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радою,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скликатиметься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щонайменше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двічі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засіданнями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збиратиметься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форум;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ради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),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працюватиме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орган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регулярних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відбуватися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напередодні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Стамбульському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ОБСЄ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1999 р., з метою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межах ОБСЄ,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створено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Підготовчий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ради ОБСЄ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Оперативний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центр,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ОБСЄ.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Гельсінського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1992 р., ОБСЄ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розробила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цілу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відрядження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ОБСЄ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посередницьких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повноваженнями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2001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РМЗС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Бухаресті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міністерську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план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тероризмом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доку- 18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 мент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ОБСЄ як форуму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заяви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проблем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Грузія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Молдова,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Нагірний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Карабах,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Південно-Східна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Центральна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Азія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липня 2009 р.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асамблеєю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ОБСЄ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резолюція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возз’єднання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розділеної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громадянських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свобод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ОБСЄ у XXI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столітті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BE1D0FE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Західноєвропейський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Союз (ЗЄС)</w:t>
      </w:r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FC876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 (англ.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Western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створена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Брюссельського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1948 р.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соціальній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культурній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колективну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самооборону,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Бельгія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Люксембург,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Нідерланди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чотирма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статусами: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-члени,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асоційовані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члени,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спостерігачі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асоційовані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спостерігачів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Асоційовані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члени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Польща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Туреччина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Чехія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асоційовані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Болгарія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Естонія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Латвія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Литва,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Румунія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Словаччина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Словенія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свою Раду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Секретаріат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1993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переведені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Лондона до Брюсселя,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розташовану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Парижі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асамблею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в 1949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Брюссельського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перейшла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альянсу.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Паризькими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1954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Федеративна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приєдналися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Брюссельського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перейменували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продовжує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задля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умов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закладених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Паризьких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1984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надано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імпульсу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оборони»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опори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1987 p.,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Ірано-Іракської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експерти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зустрілись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обговорити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навігації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нафтових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морських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коридорах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1987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відбулась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нова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 ЗЄС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здійснені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напади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торговельні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судна. На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відбулось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1987 р.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оборони держав-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«Платформу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заявили про свою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рішучість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опору НАТО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інтегрованій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належний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оборонний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документі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з НАТО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форуму для регулярного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оборони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ратифікації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1988 p.,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стали членами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в 1990 р.,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1987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крок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1989 p., коли Рада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вирішила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заснувати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Парижі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оборони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втіленню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Гаазької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ради, яке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9-10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1991 р.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Маастрихті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чергою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-члени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альянсом. 19 червня 1992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оборони держав-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провели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поблизу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Бонна,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присвячену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ЗЄС,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Петерсберзьку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Спираючись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Маастрихті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накреслює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заявили про свою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контингенти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спектра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звичайних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Петерсберзькі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включають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гуманітарні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рятувальні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миру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включно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миротворчими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Петерсберзькій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члени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зобов’язуються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заходи,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здійснювані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НБСЄ та Радою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ООН з метою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миру.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переглянуті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міжурядовій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1996/97 р.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у 1995 р.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конкретного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в роботу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міжурядової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1996 р.».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Амстердамі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міжурядової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16 та 17 червня 1997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внесли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майбутньою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та ЗЄС.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Відтак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Петерсберзькі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сформульовані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червневому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1992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включені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Амстердамського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Амстердамський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невід’ємним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чинником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останньому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оперативних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чином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Петерсберзьких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формулюванні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оборонних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чергою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інституційних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«з метою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в ЄС,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радою».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Амстердамського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22 липня 1997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подальші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кроки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r w:rsidRPr="009B3E11">
        <w:rPr>
          <w:rFonts w:ascii="Times New Roman" w:hAnsi="Times New Roman" w:cs="Times New Roman"/>
          <w:sz w:val="24"/>
          <w:szCs w:val="24"/>
        </w:rPr>
        <w:lastRenderedPageBreak/>
        <w:t xml:space="preserve">ЗЄС-ЄС.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1997 р. Рада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запровадила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максимальної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гармонізації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шестимісячного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ротації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-членами як у ЗЄС, так і в ЄС. У 1996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Словенія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десятим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асоційованим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партнером ЗЄС.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Греція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приєдналась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ЗЄС у 1995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Туреччина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 члени НАТО,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асоційованих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 члени ЄС, стали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спостерігачами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1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1995 р.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процедур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спостерігачами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23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1999 р.,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НАТО,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Чеська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Польща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асоційованими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членами.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Цими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рішеннями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створена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гнучка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система з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трьома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різними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рівнями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членства та партнерства плюс статус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спостерігача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D3418" w14:textId="77777777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  <w:lang w:val="uk-UA"/>
        </w:rPr>
        <w:t>1.</w:t>
      </w:r>
      <w:r w:rsidRPr="009B3E11">
        <w:rPr>
          <w:rFonts w:ascii="Times New Roman" w:hAnsi="Times New Roman" w:cs="Times New Roman"/>
          <w:i/>
          <w:iCs/>
          <w:sz w:val="24"/>
          <w:szCs w:val="24"/>
        </w:rPr>
        <w:sym w:font="Symbol" w:char="F020"/>
      </w:r>
      <w:r w:rsidRPr="009B3E11">
        <w:rPr>
          <w:rFonts w:ascii="Times New Roman" w:hAnsi="Times New Roman" w:cs="Times New Roman"/>
          <w:i/>
          <w:iCs/>
          <w:sz w:val="24"/>
          <w:szCs w:val="24"/>
        </w:rPr>
        <w:t>члени (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усі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члени ЗЄС є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водночас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членами НАТО та ЄС); </w:t>
      </w:r>
    </w:p>
    <w:p w14:paraId="4FB7BE87" w14:textId="77777777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  <w:lang w:val="uk-UA"/>
        </w:rPr>
        <w:t>2.</w:t>
      </w:r>
      <w:r w:rsidRPr="009B3E11">
        <w:rPr>
          <w:rFonts w:ascii="Times New Roman" w:hAnsi="Times New Roman" w:cs="Times New Roman"/>
          <w:i/>
          <w:iCs/>
          <w:sz w:val="24"/>
          <w:szCs w:val="24"/>
        </w:rPr>
        <w:sym w:font="Symbol" w:char="F020"/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асоційовані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члени (члени НАТО, але не члени ЄС);</w:t>
      </w:r>
    </w:p>
    <w:p w14:paraId="120B2EF6" w14:textId="1808FE96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3E11">
        <w:rPr>
          <w:rFonts w:ascii="Times New Roman" w:hAnsi="Times New Roman" w:cs="Times New Roman"/>
          <w:i/>
          <w:iCs/>
          <w:sz w:val="24"/>
          <w:szCs w:val="24"/>
          <w:lang w:val="uk-UA"/>
        </w:rPr>
        <w:t>3.</w:t>
      </w:r>
      <w:r w:rsidRPr="009B3E11">
        <w:rPr>
          <w:rFonts w:ascii="Times New Roman" w:hAnsi="Times New Roman" w:cs="Times New Roman"/>
          <w:i/>
          <w:iCs/>
          <w:sz w:val="24"/>
          <w:szCs w:val="24"/>
        </w:rPr>
        <w:sym w:font="Symbol" w:char="F020"/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асоційовані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партнери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(не є членами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ні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НАТО,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ні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ЄС);</w:t>
      </w:r>
    </w:p>
    <w:p w14:paraId="7B5CF024" w14:textId="77777777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</w:rPr>
        <w:sym w:font="Symbol" w:char="F020"/>
      </w:r>
      <w:r w:rsidRPr="009B3E11">
        <w:rPr>
          <w:rFonts w:ascii="Times New Roman" w:hAnsi="Times New Roman" w:cs="Times New Roman"/>
          <w:i/>
          <w:iCs/>
          <w:sz w:val="24"/>
          <w:szCs w:val="24"/>
          <w:lang w:val="uk-UA"/>
        </w:rPr>
        <w:t>4.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спостерігачі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(члени ЄС, але не НАТО.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Данія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вибрала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для себе статус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спостерігача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14:paraId="459F7A09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2000 р.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ухвалила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поступове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передавання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структурам і агентствам 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2002 р.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відійшли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союзу,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супутниковий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Союзу. Головна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залишилась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колективна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передавання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Союзові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відкладене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2010 року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оголошено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до 2011 р. 30 червня 2011 р.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припинив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§ 3.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ХХ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ХХІ ст.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виявилися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конвергенція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та НАТО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міцний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порядок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тичними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воєнними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основною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досягнен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блоку через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будь-коли.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Наступною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передумовою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загальносвітової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спричиненої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ескалацією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інтенсивного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нового формату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та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послідовна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тероризмом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фаза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спричинює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викликів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незначним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потенціалом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так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званими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старими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>» державами-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учасницями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об’єктивно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стимулює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трансатлантичної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обумовлена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недовіра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посилилася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(ЦСЄ).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вбачають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небезпеку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ймовірне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структурами ЄС негативно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вплине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розглядався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 як гарант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недоторканості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виклики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всеосяжних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військова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цивільна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скоординованими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Тому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аспекті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стратегічне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партнерство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та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безумовну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пріоритетність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ресурсній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здебільшого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фінансовій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НАТО. Вони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ресурсна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 разом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інфраструктурою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передаватимуться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командування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перебувати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поза рамками Альянсу.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свою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диктує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гнучкого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Інституційними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передумовами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стали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у Санта-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Марія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>-да-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Фейра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(19-20 червня 2000 p.),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Лаакені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(14-15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2001 p.),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Севільї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(21-22 червня 2002 p.).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самітах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стали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ключовими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чинниками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Вони заклали фундамент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передумовою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Лісабонського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попередніми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договорами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оборони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відведено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значне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Лісабонського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ефективнішим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демократичнішим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прозорішим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зрозумілішим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сильнішим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безпечнішим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Лісабонський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ставить за мету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посаду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них справ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колишню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посаду члена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посаду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викликано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спадкоємність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єдність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терористичні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атаки 11 вересня 2001 р.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у Нью-Йорку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змусили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весь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поставитися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терактів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(2004 р.)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(2005 р.)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прискорив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розбудову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залученням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агресії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ззовні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Наступною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передумовою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2004 р. до 2007 р. до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няття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розширити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але через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різний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виявитися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тривалим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стала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миротворча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оборони (СЄПБО).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зосереджує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парламентського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контролю (на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парламенту та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національному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СЄПБО.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складову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через: </w:t>
      </w:r>
      <w:r w:rsidRPr="009B3E11">
        <w:rPr>
          <w:rFonts w:ascii="Times New Roman" w:hAnsi="Times New Roman" w:cs="Times New Roman"/>
          <w:sz w:val="24"/>
          <w:szCs w:val="24"/>
        </w:rPr>
        <w:sym w:font="Symbol" w:char="F0FC"/>
      </w:r>
      <w:r w:rsidRPr="009B3E11">
        <w:rPr>
          <w:rFonts w:ascii="Times New Roman" w:hAnsi="Times New Roman" w:cs="Times New Roman"/>
          <w:sz w:val="24"/>
          <w:szCs w:val="24"/>
        </w:rPr>
        <w:sym w:font="Symbol" w:char="F020"/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інтервенційних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ЄС; </w:t>
      </w:r>
      <w:r w:rsidRPr="009B3E11">
        <w:rPr>
          <w:rFonts w:ascii="Times New Roman" w:hAnsi="Times New Roman" w:cs="Times New Roman"/>
          <w:sz w:val="24"/>
          <w:szCs w:val="24"/>
        </w:rPr>
        <w:sym w:font="Symbol" w:char="F0FC"/>
      </w:r>
      <w:r w:rsidRPr="009B3E11">
        <w:rPr>
          <w:rFonts w:ascii="Times New Roman" w:hAnsi="Times New Roman" w:cs="Times New Roman"/>
          <w:sz w:val="24"/>
          <w:szCs w:val="24"/>
        </w:rPr>
        <w:sym w:font="Symbol" w:char="F020"/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багатонаціональних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з’єднань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r w:rsidRPr="009B3E11">
        <w:rPr>
          <w:rFonts w:ascii="Times New Roman" w:hAnsi="Times New Roman" w:cs="Times New Roman"/>
          <w:sz w:val="24"/>
          <w:szCs w:val="24"/>
        </w:rPr>
        <w:sym w:font="Symbol" w:char="F0FC"/>
      </w:r>
      <w:r w:rsidRPr="009B3E11">
        <w:rPr>
          <w:rFonts w:ascii="Times New Roman" w:hAnsi="Times New Roman" w:cs="Times New Roman"/>
          <w:sz w:val="24"/>
          <w:szCs w:val="24"/>
        </w:rPr>
        <w:sym w:font="Symbol" w:char="F020"/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індустрії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виробни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r w:rsidRPr="009B3E11">
        <w:rPr>
          <w:rFonts w:ascii="Times New Roman" w:hAnsi="Times New Roman" w:cs="Times New Roman"/>
          <w:sz w:val="24"/>
          <w:szCs w:val="24"/>
        </w:rPr>
        <w:sym w:font="Symbol" w:char="F0FC"/>
      </w:r>
      <w:r w:rsidRPr="009B3E11">
        <w:rPr>
          <w:rFonts w:ascii="Times New Roman" w:hAnsi="Times New Roman" w:cs="Times New Roman"/>
          <w:sz w:val="24"/>
          <w:szCs w:val="24"/>
        </w:rPr>
        <w:sym w:font="Symbol" w:char="F020"/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званих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). Формальною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передумовою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конвергенції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та НАТО.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та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вирішальне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успішного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встановили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офіційні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2001 p., але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справжній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прорив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стався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2002 р.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прийняттям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ЄС-НАТО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оборони (СЄПБО).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закріплені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документі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та НАТО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-плюс», дали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разом з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почати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розбудову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теза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узгодженні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сумісності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ЄПБО і НАТО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усуненні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обумовлено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на посаду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заступника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командувача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військами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керує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здійснюваними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рамках 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ЄС–НАТО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конкурентної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домінування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теренах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та НАТО.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актуальним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ЄС є так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зване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«Д»»,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сформу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льоване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М.Олбрайт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структур,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дезінтеграція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дискримінація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є членами ЄС,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три «Д»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та НАТО.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інституційної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– НАТО. З початку 2001 р. НАТО та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багаторівневі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регулярні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штабів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стали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постбіполярні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трансформаційні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самого Альянсу,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тривають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Актуальною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ЄС та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– НАТО.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середньостроковій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найдоцільніше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так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географічним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функціональним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принципом. Негативною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тенденцією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конвергенції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розбіжностей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США та 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трансатлантичними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розбіжностями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США, а не НАТО»,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зауважує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дослідник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при ЄС Дж.-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І.Гайн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США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характеризуються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антагонізмом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США та СРСР), а такими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стратегічними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суперечностями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 погляди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систему та роль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2085A" w14:textId="77777777" w:rsidR="009B3E11" w:rsidRPr="009B3E11" w:rsidRDefault="009B3E11" w:rsidP="009B3E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§ 4.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i/>
          <w:iCs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i/>
          <w:iCs/>
          <w:sz w:val="24"/>
          <w:szCs w:val="24"/>
        </w:rPr>
        <w:t xml:space="preserve"> НАТО – ЗЄС та ЄС </w:t>
      </w:r>
    </w:p>
    <w:p w14:paraId="24B603A4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Динаміка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поновому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висвічує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роль тих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структур,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залучені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адекватної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сьогоднішнім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реаліям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наочно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показали,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одною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впливових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військово-політичних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увазі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обстановки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протікає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без проблем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нерідко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суперечливо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серйозних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проблем для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істотна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незбалансованість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нерівнозначність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«опор» Альянсу.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публічні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заяви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рівноправність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НАТО, реально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Альянсі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домінують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Штати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яскраво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виражено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Атлантичного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чином,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потенціалі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США. Посаду Верховного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головнокомандувача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НАТО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американський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генерал,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командувачем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США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командувач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підкоряється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винятково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керівництву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США і зона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ширша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географічному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зона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ВГК ОВС НАТО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Перша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Африки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Близького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Сходу.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сфера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командувача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підпадає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багатонаціональний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контроль з боку НАТО. </w:t>
      </w:r>
    </w:p>
    <w:p w14:paraId="752298A1" w14:textId="7D1FD7FA" w:rsidR="009B3E11" w:rsidRP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9B3E11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9B3E11">
        <w:rPr>
          <w:rFonts w:ascii="Times New Roman" w:hAnsi="Times New Roman" w:cs="Times New Roman"/>
          <w:sz w:val="24"/>
          <w:szCs w:val="24"/>
        </w:rPr>
        <w:t>НАТО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</w:t>
      </w:r>
    </w:p>
    <w:p w14:paraId="0EE0F6C7" w14:textId="5D61926E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та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початок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ЗЄС,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започаткував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1948 р., мав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увазі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суттєво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воєнні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Але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виникненням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1949 р. НАТО вона перебрала на себе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оборони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ЗЄС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довгі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значився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папері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– початку 90-х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XX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стимулювали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активізуватись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НАТО.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стосунках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етапів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Перший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починається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ірано-іракської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1987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експерти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зустрілись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обговорити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навігації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нафтових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морських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коридорах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1987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відбулась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нова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Гаазі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«Платформа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оборони держав-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заявили про свою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рішучість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опору НАТО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інтегрований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оборонний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документі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з НАТО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як форуму для регулярного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оборони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крок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1989 р., коли Рада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вирішила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заснувати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Парижі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оборони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Гаазької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1990-х р. стала очевидною потреба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збалансувати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Америкою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та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починається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Римського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у 1991 p.,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визначив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займатись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певна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взаємно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підсилюють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одна одну.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крок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налагоджуванні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та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зроблений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ради 9-10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1991 р. в Маастрихту, де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-члени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ухвалили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альянсом.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Маастрихтські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схвально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відгукнулась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рада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1991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і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пожвавленню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набувала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інтенсивного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регулярного характеру. 21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1992 р.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провела у штаб-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квартирі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організаційне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Північноатлантичною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радою. Зараз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регулярно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відвідує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ПАР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пов’язаний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практичною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реалізацією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воєнної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ЗЄС.Декларація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вироблена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Петерсберзі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1992 p.,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передбачала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операційної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шляхом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начальників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штабів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матеріально-технічного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транспорту,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озброєння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Петерсберзькою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1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1992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розмістився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утворена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Рада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послів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розпочатий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підпорядкувались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ЗЄС. Таким чином, ми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бачимо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гравцями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і ЗЄС. Але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розпочався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активізації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на шляху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та ЄС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Четвертий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та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розпочався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Вашингтонського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1999 p., де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обговорювався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оборони в межах НАТО як один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прозорості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- 28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і Альянсом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і ЗЄС; участь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є членами ЄС);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доступу ЄС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Асамблея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15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схвалила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«Час для оборони»,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Єврораді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командування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наділивши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реальними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можливостями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поетапної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у ЄС;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оборону в рамках ЄС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НАТО.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Кельнська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Євроради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(3-4 червня 1999 p.),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відбулась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найгостріший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момент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косовської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відкрили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у 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Виконуючи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Гельсінського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Союзу, Рада ЄС 14 лютого 2000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оборони.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Міланська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Рада ЗЄС (листопад 2000 р.)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остаточне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оперативного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передбачалось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структур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2001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штабу ЗЄС,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суттєве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штату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Секретаріату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та НАТО. НАТО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Союз.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 почав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оборони.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Маастрихтскому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договорі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1998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зафіксовані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XX ст. </w:t>
      </w:r>
      <w:proofErr w:type="gramStart"/>
      <w:r w:rsidRPr="009B3E11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СЗПБ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сформульовані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оборони.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становленні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мала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оборонного компонента 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1940-х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вважала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продемонструє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приведе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Штати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повернуться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ізоляціонізму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»,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підсумку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підірве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НАТО. У той же час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давно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дотримувалися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поява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кредитоспроможної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консолідує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Атлантичний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альянс, робить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збалансованим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рамках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свідчили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нова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перетворенням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реальну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діючу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особу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й оборони,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подібний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деяку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девальвацію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деатлантизацію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Штати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не без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занепокоєння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сприймали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автономну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структуру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позбавлена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американського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домінування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вирішального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голосу США. Вашингтон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стривожений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спробою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відомій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відокремити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НАТО. У 1999-2002 роках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і ЄС одержали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подальший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прийнятим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погоджені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НАТО і ЄС регулярно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Угода НАТО і ЄС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інформаційну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березень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2003 p.),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угода – результат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і ЄС про те,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іншими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досягнутими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Угода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і ЄС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інформаційну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стратегічного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партнерства НАТО і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криз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Ефективні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та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вирішальне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успішного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Празькому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2002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угоду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відкрило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фазу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угода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включена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оборонну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підписану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і ЄС 16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2002 р. Вона заклала основу для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викладає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– НАТО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доступ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плануванні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того часу ЄС та НАТО провели переговори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прийняли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пакет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відомий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-плюс».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-плюс»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пояснюється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Берліні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у 1996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Альянсу,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оборони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19 до 25 листопада 2003 р. ЄС і НАТО провели перше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кризового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менеджменту, яке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регламентувалася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низкою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домовленостей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і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час криз, 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-Плюс».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мало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дослідити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чином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залученням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сил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стратегічному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політико-військовому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Стамбульському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(28-29 червня 2004 р.)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підкреслювалося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Герцеговині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2004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дев’ятирічну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миротворчу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місію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 буде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припинено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15 липня 2004 р.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Верховний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відвідали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Сараєво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де обговорили передачу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Верховним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представником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Герцеговині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командувачем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СФОР та членами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потрійного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президентства.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Союзом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напрямках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терористичних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нападів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11 вересня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прямі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посилились,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НАТО взяв участь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обговоренні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нападів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9B3E1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Ради</w:t>
      </w:r>
      <w:proofErr w:type="gramEnd"/>
      <w:r w:rsidRPr="009B3E11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12 вересня.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загроз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зіткнулися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країничлени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Альянсу,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них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основоположне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підґрунтя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залишилося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незмінним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часу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заснування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НАТО становить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політико-військовий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трансатлантичної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загроз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Альянс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Північну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Америку, а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щоденній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враховує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До того ж сама роль НАТО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захисного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щита,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колись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забезпечував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колективну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оборону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до гаранта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найширшому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розумінні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Альянс почав не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втіленням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таких як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прав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але й став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виразником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У той час фундаментальна позитивна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логіка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вона не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приречена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американським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командуванням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криз,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базуються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людських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якостях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миротворців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співробітничати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важких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стримування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умиротворення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* * *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Геополітичний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поділ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залежатиме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зумовлюють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наднаціональних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утворень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lastRenderedPageBreak/>
        <w:t>яскравий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приклад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Вагомим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чинником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стати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задумом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організаторів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Союз, без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сумніву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успішним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проектом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регіональної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Утім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далеко не перша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спроба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утворити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подібне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реально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матеріалізувати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наміри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змогли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розпаду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Радянського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Союзу, коли перестала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існувати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загроза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сходу,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єдиною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державою, а потреба в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американській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ядерній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парасольці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практично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зникла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двадцяти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підсумки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ЄС. Варто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структура стала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-таки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успішним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втіленням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багатовікової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Карла Великого й Оттона III) тяги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тлі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непростих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європейцям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міри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готуватися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викликів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нового часу.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виклики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об’єднана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демонструє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тісної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роблячи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послідовні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кроки.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Китаєм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є одним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чільних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гравців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з’ясує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ґрунтовно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підготувалися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- 32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пейці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випробувань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XXI ст.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Геополітичний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поділ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залежатиме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зумовлюють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наднаціональних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утворень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CD99F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Контрольні</w:t>
      </w:r>
      <w:proofErr w:type="spellEnd"/>
      <w:r w:rsidRPr="009B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b/>
          <w:bCs/>
          <w:sz w:val="24"/>
          <w:szCs w:val="24"/>
        </w:rPr>
        <w:t>запитання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A049A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1.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договору? </w:t>
      </w:r>
    </w:p>
    <w:p w14:paraId="558D7E9E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2. Яка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головна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мета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ОБСЄ?</w:t>
      </w:r>
    </w:p>
    <w:p w14:paraId="06DC3656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припинив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Західноєвропейський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Союз? </w:t>
      </w:r>
    </w:p>
    <w:p w14:paraId="01BE3A09" w14:textId="77777777" w:rsidR="009B3E11" w:rsidRDefault="009B3E11" w:rsidP="009B3E11">
      <w:pPr>
        <w:rPr>
          <w:rFonts w:ascii="Times New Roman" w:hAnsi="Times New Roman" w:cs="Times New Roman"/>
          <w:sz w:val="24"/>
          <w:szCs w:val="24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4. У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суть документа «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>-плюс»?</w:t>
      </w:r>
    </w:p>
    <w:p w14:paraId="07166229" w14:textId="491D3D1C" w:rsidR="009B3E11" w:rsidRPr="009B3E11" w:rsidRDefault="009B3E11" w:rsidP="009B3E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3E11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9B3E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9B3E11">
        <w:rPr>
          <w:rFonts w:ascii="Times New Roman" w:hAnsi="Times New Roman" w:cs="Times New Roman"/>
          <w:sz w:val="24"/>
          <w:szCs w:val="24"/>
        </w:rPr>
        <w:t>?</w:t>
      </w:r>
    </w:p>
    <w:sectPr w:rsidR="009B3E11" w:rsidRPr="009B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11"/>
    <w:rsid w:val="009B3E11"/>
    <w:rsid w:val="00A25DE1"/>
    <w:rsid w:val="00C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8F39"/>
  <w15:chartTrackingRefBased/>
  <w15:docId w15:val="{15C60F12-AA3A-4711-8CD3-5EC5F6D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7054</Words>
  <Characters>40209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2022-01-08T09:08:00Z</dcterms:created>
  <dcterms:modified xsi:type="dcterms:W3CDTF">2022-01-08T09:18:00Z</dcterms:modified>
</cp:coreProperties>
</file>