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FE755" w14:textId="19A0EEA8" w:rsidR="0004311F" w:rsidRDefault="00093311" w:rsidP="0028712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12</w:t>
      </w:r>
    </w:p>
    <w:p w14:paraId="4DF05EE6" w14:textId="45912FCD" w:rsidR="00093311" w:rsidRDefault="00093311" w:rsidP="002871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311">
        <w:rPr>
          <w:rFonts w:ascii="Times New Roman" w:hAnsi="Times New Roman" w:cs="Times New Roman"/>
          <w:sz w:val="24"/>
          <w:szCs w:val="24"/>
        </w:rPr>
        <w:t>ЗОВНІШНЬОПОЛІТИЧНІ ПРІОРИТЕТИ КРАЇН ПІВНІЧНОЇ ЄВРОПИ</w:t>
      </w:r>
    </w:p>
    <w:p w14:paraId="6DE39F9D" w14:textId="2219D8AB" w:rsidR="00093311" w:rsidRDefault="00093311" w:rsidP="0028712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(Швеція,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Норвегія,Данія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499E5AC" w14:textId="2F0CD140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17C08" w14:textId="55200796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§ 1. Євроінтеграційний напрям зовнішньої політики Швеції </w:t>
      </w:r>
    </w:p>
    <w:p w14:paraId="6AD144E0" w14:textId="794C30E5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§ 2. Нейтралітет Швеції та її військово-політичні відносини з ЄС і НАТО </w:t>
      </w:r>
    </w:p>
    <w:p w14:paraId="4B9A2833" w14:textId="7405095C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§ 3. Євроінтеграційні прагнення Норвегії </w:t>
      </w:r>
    </w:p>
    <w:p w14:paraId="749C7E74" w14:textId="32AC134A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§ 4. Співпраця Норвегії в контексті європейської системи безпеки і оборони </w:t>
      </w:r>
    </w:p>
    <w:p w14:paraId="49A22759" w14:textId="77777777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§ 5. Нова зовнішньополітична концепція Данії </w:t>
      </w:r>
    </w:p>
    <w:p w14:paraId="19C44EF5" w14:textId="6CCC66C9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§ 6. Європейська складова дипломатії Данії</w:t>
      </w:r>
    </w:p>
    <w:p w14:paraId="78901012" w14:textId="49C587D6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3916E2" w14:textId="77777777" w:rsidR="00BD1DBD" w:rsidRPr="00BD1DBD" w:rsidRDefault="00BD1DBD" w:rsidP="00BD1DB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i/>
          <w:iCs/>
          <w:sz w:val="24"/>
          <w:szCs w:val="24"/>
          <w:lang w:val="uk-UA"/>
        </w:rPr>
        <w:t>§ 1. Євроінтеграційний напрям зовнішньої політики Швеції</w:t>
      </w:r>
      <w:r w:rsidRPr="00BD1DB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39F8FBFA" w14:textId="7C29BBAA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довгого часу політика нейтралітету не дозволяла Швеції домагатися вступу до ЄС. Швеція задовольнялася членством у менш жорстко організованій Європейській асоціації вільної торгівлі (ЄАВТ).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дозволили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переглянути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1990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подати заявку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стосувалося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курсі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й означало,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інтернаціоналізації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зачепили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залежної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1991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подала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ЄС,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1994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народ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схвалив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Прихильники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перемогли з невеликою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(52,3%). Практично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означало,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розкол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Те ж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трапилося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1995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повноправним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членом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розділяє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довгострокові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Адаптація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нещодавно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вийшла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мала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пройшла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напрочуд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гладко.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інкорпорувала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внутрішнє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жорстких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піддала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суттєвій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лібералізації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дерегулюванню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приватизована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розширена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сфера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ринкових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приватні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надавалися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муніципальними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(транспорт,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комунальні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). Були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знижені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податки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корпорацій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на доходи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поступове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пристосування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Намагаючись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інститутах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зрозумілим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говорять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максимально широко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поширювати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коментарі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книги з проблем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спеціально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відзначали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легітимності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років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упевненістю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характерні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сформовані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упродовж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століть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взаємин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ілюструє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ту роль, яку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відіграла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1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1 липня 2001 р.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партнерам по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три «е»: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зайнятість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званої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Лісабонської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(2000 р.).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бачить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на шляху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реформ,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адекватно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відображала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демографічні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став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знаменитим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«принцип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гласності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принцип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громадянам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справедливо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пишаються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прозорість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– одна з умов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демократичного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принципу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гласності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йшло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гладко, і переговори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важкими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тривалими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Коли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подала заявку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пунктом,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компроміс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гласності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заявлено,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попередня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буде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стане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неможливим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1997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принцип все ж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пристосувати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юридичну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практику до нового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DBD">
        <w:rPr>
          <w:rFonts w:ascii="Times New Roman" w:hAnsi="Times New Roman" w:cs="Times New Roman"/>
          <w:sz w:val="24"/>
          <w:szCs w:val="24"/>
        </w:rPr>
        <w:t xml:space="preserve">закону.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кінцевому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підсумку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компроміс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знайдений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з поправками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варіанту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1997 р., а реально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1999 р.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проживає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80 млн.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24 млн. –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Скандинавських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величезний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природно-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тут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шельфі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Баренцового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моря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потужні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нафто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-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газоносні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Кольському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півострові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кольорових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мінералів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лісовими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рибними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ресурсами. Велика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розташовується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російській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переважає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Російська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Федерація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то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найважливішими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показниками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(такими, як: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ВВП на душу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переважають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висловлена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прем’єрміністром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Пааво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Ліппоненом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фінську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Задум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полягав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тому,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залучити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паритетних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засадах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Зрештою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31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чергове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DBD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визначило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напрямки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підйомі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пов’язано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починався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рівноправна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ЄC (і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Союзу),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зміцнилося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ключовим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інструменту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рада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Гетеборзі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2001 р. (в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розглянула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перший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вибрані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r w:rsidRPr="00BD1DBD">
        <w:rPr>
          <w:rFonts w:ascii="Times New Roman" w:hAnsi="Times New Roman" w:cs="Times New Roman"/>
          <w:sz w:val="24"/>
          <w:szCs w:val="24"/>
        </w:rPr>
        <w:lastRenderedPageBreak/>
        <w:t xml:space="preserve">три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екологія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проблема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Калінінградського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анклаву,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злочинністю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Референдум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14 вересня 2003 р., показав,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ЄС не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простими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На референдум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винесено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фазі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ЕВС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56,1%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виборців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з’явилися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дільниці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висловилися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крони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валюти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41,8%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висловилися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за. Референдум показав,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побоюються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викличе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призведе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посилиться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стан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низького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ФРН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продовжує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залишатися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критично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налаштованих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аргументом є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стимулювало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критичне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себе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сумніву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здавалося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непорушна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консенсусу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зіткненні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.</w:t>
      </w:r>
    </w:p>
    <w:p w14:paraId="681159BF" w14:textId="7CACF14A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A8577" w14:textId="77777777" w:rsidR="00BD1DBD" w:rsidRPr="00BD1DBD" w:rsidRDefault="00BD1DBD" w:rsidP="00BD1DB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Нейтралітет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військово-політичні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відносини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з ЄС і НАТО</w:t>
      </w:r>
      <w:r w:rsidRPr="00BD1DB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11B19C39" w14:textId="139338AD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зводиться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союзів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багатосторонніх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договорах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гарантіях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ґрунтується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волевиявленні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складне 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суперечливе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вкладається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рамки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однозначних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схожих з нею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історичними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долями,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складався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закріплювався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географічного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Володіючи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ключовими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контролюючи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морські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Балтикою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морем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Скандинавські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приймалися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глобальній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великих держав.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буферне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становище,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підключити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гітлерівський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рейх на перших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етапах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віддав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нейтральну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державу. План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захоплення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Полярна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лисиця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з’явився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обставина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наклала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відбиток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поділі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світовими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визначився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географічний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торговими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партнерами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стали Велика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боку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виявилися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ємним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традиційних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залізна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руда,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целюлоза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ліс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), але 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дорогої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спеціалізованої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шарикопідшипники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електровироби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боєприпаси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зовнішньоторговельних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на яку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припадало 2/3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зовнішньоторговельного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стало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передумовою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зовнішньоторговельної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експансії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вступили в 1949 р. в НАТО,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підтвердив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позаблоковій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й став на шлях активного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член ООН (з 1946 р.),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кроки,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направлені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розрядку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напруженості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сприятливого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часто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посередницькою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низкою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ядерного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роззброєння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1963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одна з перших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підписала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Московський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середовищах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Женевському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комітеті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неприєднаних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держав. Разом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вони брали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висунутого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Радянського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 договору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нерозповсюдження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1969 р. риксдаг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ратифікував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бактеріологічних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хімічних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початком 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офіційної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1992 р.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невпинно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заявляв,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неприєднання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залишиться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незмінною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стало предметом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критики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невідповідне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увазі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НАТО).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підсумку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соціал-демократичний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у лютому 2002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опозицією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згадується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неприєднання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про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протистояти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загрозам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миру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колективних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НАТО прямо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згадується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прихильники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противники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союз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тлумачать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приготувань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такого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варіанту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аргументів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НАТО,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висловлюваних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перегукується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претендували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претендують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НАТО.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впевнена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жодна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держава не повинна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домінувати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бачиться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противагу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подібній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кооперації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балансувати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Америкою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проводом Альянсу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країн-партнерів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доктрині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первинними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кризовому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СЗПБ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інструментом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трансатлантичної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солідарності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терористичних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атак 11 вересня 2001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кроки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виступивши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DBD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євроатлантичного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партнерства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загрозою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НАТО, то,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вона вступить в НАТО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виникне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реальна, а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гіпотетична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Але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набранням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Лісабонсь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кого договору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закладається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основа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16 червня 2009 р. риксдаг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бути готовою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кроки,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на шляху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НАТО, 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зростаючій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сил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НАТО,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- 302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303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працювання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НАТО шляхом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маневрах,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сумісності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«Партнерства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миру»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співпрацює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НАТО в рамках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«Партнерство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миру».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керованих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 у Косово і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2006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задіяні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маневрах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штабних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навчаннях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НАТО у Норфолку (США).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Останнім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посилилося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налагодити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військово-технічне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членами НАТО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Альянсу. Так,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2007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командувачі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висунули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підводних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човнів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танків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озброєння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доктрин.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виявляє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позитивне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(СЗПБ).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обговоренні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принципом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одностайність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допускала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кваліфіковану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коли, на думку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запропоновані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суперечили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їхнім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одноголосності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СЗПБ як сферу, де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Будучи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неприєднаною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НАТО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криз,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ст. 5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договору.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глибоке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оборони як глобального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чинника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центральне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зміцненні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рівноправної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трансатлантичної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стратегія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стати одним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Одним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 і,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контингенту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у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командуванням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миру,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суперечить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неприєднання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успішними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дали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Македонії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2001 р., де ЄС і НАТО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здійснювали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 могла б стати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моделлю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Іраком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французької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виключала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мандата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ООН)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висловлювала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жаль,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інспекторам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очолював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швед Ханс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Блікс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часу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розслідувань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без мандата РБ ООН, на думку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права.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ООН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легітимність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стала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ефективною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великого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і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глобальному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масштабі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Африку,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Азію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брали участь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ООН МОНУК (MONUC) в Конго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ООН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Ліберії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Участь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і, конкретно,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оборони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призвела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елементах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оборони. Нова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стала головною причиною того,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відходить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базувалася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загрозі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Натомість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гнучкої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здатною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проводиться реформа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сил,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90-х роках.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миру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конфліктами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навколишньому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відстоювання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цілісності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оборони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нападів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озброєння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Одним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взаємопов’язана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стратегія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поставок оборонного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НДДКР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Таким чином,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європейські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викликано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перш за все,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зростаючими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темпами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боязню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залишитися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межами активного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поля.</w:t>
      </w:r>
    </w:p>
    <w:p w14:paraId="11F1FA20" w14:textId="0B1556B9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93875" w14:textId="77777777" w:rsidR="00BD1DBD" w:rsidRPr="00BD1DBD" w:rsidRDefault="00BD1DBD" w:rsidP="00BD1DB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§ 3.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Євроінтеграційні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прагнення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4CACBA6B" w14:textId="74B44D2C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автономний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подала заявку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ЄЕС в 1962 р.,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того,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орієнтація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атлантичні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далеко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чужа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еліті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зітхнула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полегшенням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1970-х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., коли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відновила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переговори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вибухнула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серйозна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вилилася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25 вересня 1972 р.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53%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проголосували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». У 1990-і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зазнало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подав заявку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ЄЕС.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1994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Союзу. 52,2%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виборців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проголосували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ЄЕС,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явці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89%. Особливо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різко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налаштоване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губерній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провінціях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голосувало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зате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столичному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70%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проголосувало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особливий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то велика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директив ЄС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80%)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інкорпорована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внутрішнє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ЄЕП і директив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змушена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лібералізувати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приступити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проданий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пакет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високоефективної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нафто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-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газодобувної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Статойл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», яка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показниками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підлягала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підкорилася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ринку газу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обставиною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великими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внутрішньополітичне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протікає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бурхливо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двічі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сказала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ЄЕС: у 1972 і 1994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Горде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прозвучати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раз,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справа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дійде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одного референдуму.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Негативне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блоку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минулому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низки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втратили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ХХІ ст. Одним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неявних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постулатів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застарілим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поняттям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минуле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норвежців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неприпустиме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молода держава,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відзначила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починалося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1905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одну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процвітаючих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роки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привести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норвежців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розчарування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добробут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атмосферу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невід’ємною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цінністю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з такими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добровільно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розлучаються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принципово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великими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нафтовими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газовими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ресурсами і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величиною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експортером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вуглеводнів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той час як ЄС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імпортером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ставить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унікальне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становище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інтереси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паливо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масштабів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видобутку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паливних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морського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шельфу,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паливних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BD1DBD">
        <w:rPr>
          <w:rFonts w:ascii="Times New Roman" w:hAnsi="Times New Roman" w:cs="Times New Roman"/>
          <w:sz w:val="24"/>
          <w:szCs w:val="24"/>
        </w:rPr>
        <w:t>т.дНа</w:t>
      </w:r>
      <w:proofErr w:type="spellEnd"/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ґрунтується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нафти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газу, руд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кольорових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гідроресурсів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рибних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компаративним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реалізуються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кольорової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металургії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рибальства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судноплавства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суднобудування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гідроенергетики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експортний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профіль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балансу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ділянках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піонером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засновником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аквакультури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характерної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ЄС. Усе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диктує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блоку 27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недоцільно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підводити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західноєвропейскі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правила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рибальство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аграрні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комуни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природа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рамках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-таки ставить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становище.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угоді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1992 р.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простору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безперешкодним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доступом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Таким чином,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принесе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накладе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все, стала б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держав-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донорів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Союзу. Аргумент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ґрунтується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переконливий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примарні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тих валютно-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труднощів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стикається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 ЄС, у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надійною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ФРН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Перспектива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старіння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носить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загрозливого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характеру,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Пенсійного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фонду,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призначеного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поколінь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розмірами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перевищують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Профіцит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державного бюджету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роки 15 млрд. дол.,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найпотужніші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 служили локомотивами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зіткнулися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труднощами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утриманні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держбюджету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західноєвропейських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міркувань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змушені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переглядати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змозі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блага,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2/3 державного бюджету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погано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піддаються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стандартизації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характерними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ЄС. Перший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парадокс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зацікавлена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те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учасницею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обтяжили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внесками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так званий Фонд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вирівнювання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відмінностей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2004-2009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змушена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внести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фонд 567 млн.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підвищив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паливну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небезпечну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поставок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ззовні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1DBD">
        <w:rPr>
          <w:rFonts w:ascii="Times New Roman" w:hAnsi="Times New Roman" w:cs="Times New Roman"/>
          <w:sz w:val="24"/>
          <w:szCs w:val="24"/>
        </w:rPr>
        <w:t>По-друге</w:t>
      </w:r>
      <w:proofErr w:type="spellEnd"/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ЄАВТ шляхом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поглинання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поодинці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перетворилося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престижу.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символізувати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перемогу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інтеграційної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ринку над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ідеєю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По-третє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участь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НАТО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одночасною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неучастю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-таки </w:t>
      </w:r>
      <w:r w:rsidRPr="00BD1DBD">
        <w:rPr>
          <w:rFonts w:ascii="Times New Roman" w:hAnsi="Times New Roman" w:cs="Times New Roman"/>
          <w:sz w:val="24"/>
          <w:szCs w:val="24"/>
        </w:rPr>
        <w:lastRenderedPageBreak/>
        <w:t xml:space="preserve">ставить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унікальне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становище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неприємним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переходить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обмежений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контингент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курсу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вираженої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блокової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орієнтації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інтерпретувати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атлантичної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солідарності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порівнянні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згуртованістю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парадокс.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валютним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порозі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переростання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викликом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висловлює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дистанціюватися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блоку 27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.</w:t>
      </w:r>
    </w:p>
    <w:p w14:paraId="44018280" w14:textId="08F84989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019EC" w14:textId="77777777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</w:rPr>
        <w:t xml:space="preserve">§ 4.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оборони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829C8DD" w14:textId="272523BA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Після закінчення «холодної війни» і переходу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  <w:lang w:val="uk-UA"/>
        </w:rPr>
        <w:t>постбіполярної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системи поглибилася участь Норвегії в процесах світової інтернаціоналізації та регіональної інтеграції.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Домінуючий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атлантичний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втратив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визначальну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Географічне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велика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протяжність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берегової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причинами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геополітичного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плацдарм НАТО,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зменшилися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базова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атомна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декларувала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зняті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владою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Зростаючу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вимушену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референдумів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1972 р. і 1994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вони створили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труднощі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союзниками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заважає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активному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Стортинг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висунув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1992 р. два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взаємозалежних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ЄС з метою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маргіналізації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Вони включали в себе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скандинавської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рамках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(на той час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заявки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) і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європеїзацію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Зазначалося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таким чином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На перший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всебічного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структурами.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Хейр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Прогресивна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Робітничої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висловлювалися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ЄС. Будучи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міністром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справ,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Б’єрн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Туре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Годаль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заявив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містяться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Маастрихтському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передбачало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подібні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заяви носили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масовий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до референдуму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1994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членства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партійна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риторика.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стали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звертати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гарантія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шведського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товариств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характерне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членство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неминуче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спричиняє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самостійності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нав’язування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Брюсселя.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подібну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антиінтеграційну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той же час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Були,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вжиті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кроки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руслі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пристосування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1992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звернулася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заявкою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асоційоване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членство в ЗЄС і вступила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1995 р.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Осло,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негативним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результатом референдуму 1994 р.,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пішов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зауважити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асоційоване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членство в ЗЄС у той час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влаштовувало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наполягаючи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непопулярному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ЄС,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виробленні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низки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полягала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той час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підкресленні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першочергової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НАТО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говорилося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діячів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резолюціях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Берлінській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Північноатлантичної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ради в 1996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ісландські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вперто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відстоювали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точку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й оборони повинна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розвиватися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рамках НАТО.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рисою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чітке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розділення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 одного боку,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–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прерогатива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альянсу.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Подібне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негативне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містилося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урядовому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перед парламентом 1998 р.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документі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злиття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ЗЄС і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вірогідну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протидію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 в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альянс».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свою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могло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призвести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спроб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перешкодити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розширенню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того,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став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набирати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обертів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зазнала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пов’язано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норвежців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залишалося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негативним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перегляд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старих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і Стортинг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змусили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умов,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могли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призвести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ізоляції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Амстердамський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включив, по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ЗЄС в ЄС, поставив на порядок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мала статус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асоційованого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члена, могла, таким чином,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втратити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виробленні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змусило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Осло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зростаючою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роллю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Одним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поштовхів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франко-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1998 р. в Сент-Мало,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закликала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інтенсифікувати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означало,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виражену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позитивно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традиційну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орієнтацію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Великобританію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послужило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прикладом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наслідування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вектора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знайшли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вираження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уже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1999 р.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промові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справ Кнута Воллебека.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підкреслив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зростаючу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значимість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заявив,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вносить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істотний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вклад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криз, повинна бути залучена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рамках ЄС.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1999 р. Кнут Воллебек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виразніше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підкреслив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рішуче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оборони. 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згодні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турботою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вектора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такого, а боязнь того,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значущим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асоційованого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члена ЗЄС.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приділялася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проблемі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взаємин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союзом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шістьма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членами НАТО,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званим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форматом 15+6.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без особливого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захоплення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зустрінута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радою. Таким чином,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мала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ізоляції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умов.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досягнуті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Напевно,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найбільш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рішучим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кроком стало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3 500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Тим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Не будучи членом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розраховувати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рівноправний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статус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Фактичне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формату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15+6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залишає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відкритим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словами,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маргіналізації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продиктована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норвезької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Гельсінкі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ЗЄС в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втратила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канал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оборони.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Ніцці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сумісних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шістьма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нечленами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(15+6)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двічі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МЗС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охарактеризував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Ніцці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відправний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пункт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тіснішої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Але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оптимальним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нечлени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відрізаною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й оборони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практичного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Гельсінкі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заявив,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приєдналися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пізній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 тому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Ніцці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вирішено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є членами ЄС, але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істотний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підрозділами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ж правами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зобов’язаннями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командних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структур,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плануванні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повсякденне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вказані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невеликий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ніякого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2000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нечленів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заявили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Сил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Лакені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є членами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запрошені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силами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члени ЄС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відводить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нечленам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другорядну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у практичному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проблематичним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і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уже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серйозним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викликом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результат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ЄС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наміри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таким же чином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СЗПБ, стало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Агентства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новою структурою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покладено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2004 р. агентство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замінило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Західноєвропейську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адміністративному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ЗЄС і де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користувалася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правами члена.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Туреччина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входить до ЄС, могла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у проектах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програмах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правлінням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АОО. З боку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заявлено,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СЗПБ,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треті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запрошені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нового агентства, але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повинно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прецеденту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автономності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доступу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стратегічному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оборонних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потенціалів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т.ін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орієнтувалася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атлантичні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НАТО,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схильна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змінювати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енергоресурсів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членство в НАТО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зменшували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маргіналізації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Поворот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 одного боку, через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r w:rsidRPr="00BD1DBD">
        <w:rPr>
          <w:rFonts w:ascii="Times New Roman" w:hAnsi="Times New Roman" w:cs="Times New Roman"/>
          <w:sz w:val="24"/>
          <w:szCs w:val="24"/>
        </w:rPr>
        <w:lastRenderedPageBreak/>
        <w:t xml:space="preserve">статусу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Північноатлантичному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успіхам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побудові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.</w:t>
      </w:r>
    </w:p>
    <w:p w14:paraId="56D85908" w14:textId="44DC662B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9EB31" w14:textId="77777777" w:rsidR="00BD1DBD" w:rsidRPr="00BD1DBD" w:rsidRDefault="00BD1DBD" w:rsidP="00BD1DB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§ 5. Нова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зовнішньополітична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концепція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5648466D" w14:textId="40F8C33C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  <w:r w:rsidRPr="00BD1DBD">
        <w:rPr>
          <w:rFonts w:ascii="Times New Roman" w:hAnsi="Times New Roman" w:cs="Times New Roman"/>
          <w:sz w:val="24"/>
          <w:szCs w:val="24"/>
          <w:lang w:val="uk-UA"/>
        </w:rPr>
        <w:t xml:space="preserve"> Геополітичні зміни, що відбулися на міжнародній арені у зв’язку з розпадом Радянського Союзу, створили принципово нові умови для формування зовнішньої політики Данії.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незалежних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розпад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ОВД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корінному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перегляду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ознаменувало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пасивної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інтернаціоналізму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Офіційне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1989 р. Приводом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урядової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проаналізувати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врахувати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висуваються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дипломатичної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відбивалися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простору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індустріального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прерогатив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інтернаціоналізації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інтернаціоналізму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«доктрина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Уффе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Еллеман-Йенсена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», означала не просто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декларативні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заяви, але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конкретні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носили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незалежний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характер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покликані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зачіпати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глобальний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солідарності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обмежуючись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здібності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професіоналізм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виваженої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добре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прорахованої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невід’ємної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 в 1993 р.,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сценаріїв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порядку. Так,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потенціалом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стабільного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ймовірність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порядку,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нестабільністю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конфліктністю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розривами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поглиблюється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розривом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Північчю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Півднем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визначило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колективної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глобальному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колективної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розпаду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біполярної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ООН та ОБСЄ.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 листопада 2001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ліберальна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Венстре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1924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склала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фракцію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Фолькетінгу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Коаліційний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сформовано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Консервативною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Датськоюї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Народною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набрали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найбільшу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Венстре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урядом у 2003 р.,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першочерговою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визначалось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нації-держави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фундаментальних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розділити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індивідуум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2) свобода, 3)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першочергової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мети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перерахованих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загальнонаціональних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ставить перед собою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такими принципами: 1)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зосередженість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випливає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чіткого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пріоритетів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наголошується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сконцентрувати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сферах,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залученість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коаліціях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партнерами,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штабквартири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державах, де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глобального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миру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2003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заяви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неодмінно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підкріплюватися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реальними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активними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consistency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повинна бути принципом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надзвичайними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відмовляється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них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альтернативи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крайньої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наполегливість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завзятість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perseverance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наполегливість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проявлятися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ґрунтовності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об’єктивності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джерелом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невеликої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авторитету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викликала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сумнівів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тому,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робляться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об’єктивного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детального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вказується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вимірах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трансатлантичному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глобальному.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взаємопов’язаними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взаємодоповнюючими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 і США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партнерами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запорукою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урядом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найважливіший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канал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тісна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трансатлантична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заснована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довірі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передумовою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глобального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трансатлантичного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векторів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глобальному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відстоювання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ліберально-демократичних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обернулося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найгіршою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кризою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публікацією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карикатур на пророка Мухаммеда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газеті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Юлландс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-постен» (вересень 2005 р.).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опинилася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один на один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обуреним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мусульманським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світом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чий протест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знайшов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вираження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великомасштабних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демонстрацій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підпалів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посольств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Індонезії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Сирії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Лівані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Ірані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Відзначаючи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конфліктності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нестабільності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1993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виділило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колективної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ООН та ОБСЄ, як одного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терактів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11 вересня 2001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визначило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курс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США як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гаранта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Проголошена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інтернаціоналізму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ґрунтується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просуванні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норм.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вирішальна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відводилася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пасивній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геополітичних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.</w:t>
      </w:r>
    </w:p>
    <w:p w14:paraId="2266B6BB" w14:textId="597CE6EB" w:rsidR="00BD1DBD" w:rsidRDefault="00BD1DBD" w:rsidP="00BD1D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0622B" w14:textId="77777777" w:rsidR="00BD1DBD" w:rsidRPr="00BD1DBD" w:rsidRDefault="00BD1DBD" w:rsidP="00BD1DB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§ 6.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Європейська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складова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дипломатії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i/>
          <w:iCs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27B3AE0C" w14:textId="1E910787" w:rsidR="00BD1DBD" w:rsidRPr="00093311" w:rsidRDefault="00BD1DBD" w:rsidP="00BD1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услід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Великою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Британією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1972 р. вступила до ЄЕС. Справа в тому,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в 1950-і і 1960-і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господарства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визначило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асоціацію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Англією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в ЄЕС. На перших порах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виграла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ЄЕС. Аж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до початку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аграрної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союзом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будувалися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таким чином,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отримувала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вносила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бюджету.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Різниця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складала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1% ВВП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Курс ЄЕС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продовольчу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самозабезпеченість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сільськогосподарську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вигідний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конкурентоспроможність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об’єднаному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ринку. Велика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гарантійних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виплат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ЄЕС в 1970-і </w:t>
      </w:r>
      <w:proofErr w:type="spellStart"/>
      <w:proofErr w:type="gram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поширювалася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: зерно, молоко, масло,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яловичину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найважливіші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експорту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Зате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гармонізація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ЕВС,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болісно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рівнем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експорті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становить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товарообігу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Помітний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отримано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відкритою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дотримувалася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призвело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ринку,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зате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з’явилася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масштабів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ЄЕС/ЄС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іноземні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вузький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перешкоджав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притоку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ТНК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обрали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штаб-квартир. У 1980-1990-і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спостерігався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різкий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ріст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прямих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прагнули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ринку ЄС. Таким чином,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виконала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сполучної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ланки. Членство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видобутку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нафти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шельфі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дозволили з часом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проблему бюджетного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страждала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1970-ті і першу половину 1980-х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До 1993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отримувала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відраховувала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найбагатших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Союзу. У 1993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: з нетто-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одержувача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перетворилася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нетто-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становища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реформою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аграрної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яка проводиться,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1980-х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Взаємовідносини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ЄС круто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аграрної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сільськогосподарському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стала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скорочуватися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експорті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Участь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аграрного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Число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аграрних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скоротилося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200 тис. в 1960 р. до 48 тис. в 2005 р.,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продовжує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тих 3%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зайняті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7-9%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зайнято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промисловою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переробкою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аграрної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ЄЕС,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збільшився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приплив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аграрного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ВВП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стабілізувалася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1980-х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ЄЕС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перейшов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аграрного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перевищення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квот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стягуються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штрафи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ферми,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10 га,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представляти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сівозміни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добрив,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говорить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1988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лібералізувала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рух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капіталів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ЄС. Фолькетинг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схвалив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Маастрихтський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переважною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відкинутий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всенародного референдуму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званих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застережень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валютної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справ.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референдуму 1992 р.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взяло </w:t>
      </w:r>
      <w:r w:rsidRPr="00BD1DBD">
        <w:rPr>
          <w:rFonts w:ascii="Times New Roman" w:hAnsi="Times New Roman" w:cs="Times New Roman"/>
          <w:sz w:val="24"/>
          <w:szCs w:val="24"/>
        </w:rPr>
        <w:lastRenderedPageBreak/>
        <w:t xml:space="preserve">гору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обережне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ЄС. Уряд твердо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дотримувався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обмежень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записаних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Единбурзькій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угоді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1992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економічне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збільшенням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1990-і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., то акцент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Амстердамський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включений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 1986 р.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загострює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екологічній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проблематиці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уніфікації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простої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зберігає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іноземної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кваліфікованих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вони є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сприятливими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уніфікації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податкових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-членами ЄС.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призвів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великих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данській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збільшилася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зменшився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Тому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приходити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коаліційні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меншості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високоорганізований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глибоко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залучені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розчинення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собою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ослаблення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профспілок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2000 р.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проведений референдум з приводу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валютного союзу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За результатами всенародного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датчани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проголосували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виборці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побоюються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призведе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чинної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застережень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За результатами референдуму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валюти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крони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відхилено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данськими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виборцями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53%.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розчарували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Брюссель. За результатами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напружено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стежили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Стокгольмі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чекала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перспектива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опинилася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найближчий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час,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форсувати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західноєвропейської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провідної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США і НАТО й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обмеженої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скептично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ставилася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середини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став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зберігаючи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профіль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У колах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еліти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частіше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висловлюється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думка,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неучасть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СЗПБ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послаблює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роль в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Правда,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цивільних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аспектах СЗПБ (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поліцейськими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юридичними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очолював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місію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Герцеговині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), але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кризами.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намічатися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зрушення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контингентів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міжурядовій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Амстердамського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прямо, але і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текст договору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Петерсберзьких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розробці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2003 р.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визнав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1992 р. показав велику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й оборони.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реалії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новому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столітті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відрізняються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коли ми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тому.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У той же час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ЄС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ґрунтувалася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необхідній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застережень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вимагатиме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нового референдуму».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того як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2004 р.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Ніцці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досягнута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домовленість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текст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прем’єрміністр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провів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партіями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представленими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lastRenderedPageBreak/>
        <w:t>парламенті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з метою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узгодити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основу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широкої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низки особливо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чутливих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сфер,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до СЗПБ,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основному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повторюють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Особлива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зафіксована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тексті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Євроконституції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досягнутої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вирішили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рекомендувати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позитивно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проголосувати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конституцію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домагалася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одностайності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Датський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заперечував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тверджень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іракський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підірве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СЗПБ і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антиіракській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переорієнтацію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приділяє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велике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врегулюванню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криз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а й в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Африці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Вона активно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порушувала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ставши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непостійним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членом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ООН у 2005-2006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яка, пославшись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застереження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, не буде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виділяти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воєнний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персонал </w:t>
      </w:r>
      <w:proofErr w:type="gramStart"/>
      <w:r w:rsidRPr="00BD1DBD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BD1DBD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Гельсінському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ухвалила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й у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фінляндсько-шведсько-норвезькій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бойовій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мобільній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Нордік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Бетл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BD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BD1DBD">
        <w:rPr>
          <w:rFonts w:ascii="Times New Roman" w:hAnsi="Times New Roman" w:cs="Times New Roman"/>
          <w:sz w:val="24"/>
          <w:szCs w:val="24"/>
        </w:rPr>
        <w:t>».</w:t>
      </w:r>
    </w:p>
    <w:sectPr w:rsidR="00BD1DBD" w:rsidRPr="0009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11"/>
    <w:rsid w:val="0004311F"/>
    <w:rsid w:val="00093311"/>
    <w:rsid w:val="00287120"/>
    <w:rsid w:val="00B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0171"/>
  <w15:chartTrackingRefBased/>
  <w15:docId w15:val="{DAD51ECC-2848-4CA4-B5A3-3CA9C641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8297</Words>
  <Characters>47298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2022-01-08T18:57:00Z</dcterms:created>
  <dcterms:modified xsi:type="dcterms:W3CDTF">2022-01-08T19:16:00Z</dcterms:modified>
</cp:coreProperties>
</file>