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AD338" w14:textId="1F28E379" w:rsidR="00815830" w:rsidRDefault="0076523C" w:rsidP="007652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13</w:t>
      </w:r>
    </w:p>
    <w:p w14:paraId="3DDEFDB8" w14:textId="77777777" w:rsidR="0076523C" w:rsidRPr="0076523C" w:rsidRDefault="0076523C" w:rsidP="007652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>ЗОВНІШНЬОПОЛІТИЧНІ ПРІОРИТЕТИ КРАЇН ПІВНІЧНОЇ ЄВРОПИ</w:t>
      </w:r>
    </w:p>
    <w:p w14:paraId="2EB83E4E" w14:textId="00844FAF" w:rsidR="0076523C" w:rsidRDefault="0076523C" w:rsidP="007652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Фінляндія, Ісландія, Північна Рада</w:t>
      </w:r>
      <w:r w:rsidRPr="0076523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EF19435" w14:textId="44CFB8D4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71E00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6523C">
        <w:rPr>
          <w:rFonts w:ascii="Times New Roman" w:hAnsi="Times New Roman" w:cs="Times New Roman"/>
          <w:sz w:val="24"/>
          <w:szCs w:val="24"/>
          <w:lang w:val="uk-UA"/>
        </w:rPr>
        <w:t>. Еволюція зовнішньополітичних пріоритетів Фінляндії.</w:t>
      </w:r>
    </w:p>
    <w:p w14:paraId="063B805C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 §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6523C">
        <w:rPr>
          <w:rFonts w:ascii="Times New Roman" w:hAnsi="Times New Roman" w:cs="Times New Roman"/>
          <w:sz w:val="24"/>
          <w:szCs w:val="24"/>
          <w:lang w:val="uk-UA"/>
        </w:rPr>
        <w:t>. Основні напрями зовнішньополітичного курсу Ісландії.</w:t>
      </w:r>
    </w:p>
    <w:p w14:paraId="6FF280E4" w14:textId="33B7FC60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 §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6523C">
        <w:rPr>
          <w:rFonts w:ascii="Times New Roman" w:hAnsi="Times New Roman" w:cs="Times New Roman"/>
          <w:sz w:val="24"/>
          <w:szCs w:val="24"/>
          <w:lang w:val="uk-UA"/>
        </w:rPr>
        <w:t>. Північна рада – система співробітництва країн Північної Європи.</w:t>
      </w:r>
    </w:p>
    <w:p w14:paraId="3459CD20" w14:textId="741F228B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F469FF" w14:textId="40A905AF" w:rsidR="0076523C" w:rsidRPr="0076523C" w:rsidRDefault="0076523C" w:rsidP="0076523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§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Еволюція зовнішньополітичних пріоритетів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Фінлянд</w:t>
      </w:r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іі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A1388ED" w14:textId="1A78BD19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 Постійний нейтралітет Фінляндії, – це прямий наслідок Другої світової війни.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Піддавшись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нападу з боку СРСР,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відрізав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свою долю з долею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рейху».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Перебуваючи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таборі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переможених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держав,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змушена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підписати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1947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Паризький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забороняє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альянс,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спрямований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будь-кого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переможців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обмежує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хотіла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змусити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забути про свою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сил у той момент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виключало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яке б то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Заходу,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скандинавський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здавався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малоймовірним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очевидний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прийти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зайняти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Москви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вона повинна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Брюсселем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відвернути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час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нею проблем,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 1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1995 р. означав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серйозну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доктрині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офіційно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сформульована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закріплена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спеціальній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уряду,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побачила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навесні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1995 р. На перше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спонукали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ЄС,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висунуті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Головна теза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«Членство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незалежна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оборона,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НАТО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хороші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сусідніми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надійна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ЄС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то,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1995 року,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відштовхуючись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Союзу,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колективну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зменшилося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хотіла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тісніше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пов’язувати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структурами.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того, ООН та ОБСЄ стали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Розумне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боку уряду дало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Маастрихтські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союз.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скептично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налаштованих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сусідів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тісні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Брюсселем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вбачає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завершенні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мету, а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уряду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бездоганними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блага членства в ЄС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прагнули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 для того,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зрушити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вперед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інституційну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реформу. Вони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хотіли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гарантувала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дрібніших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держав-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досліджувати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широкого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кваліфікованою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lastRenderedPageBreak/>
        <w:t>більшістю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І все ж в одному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внесло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Уряд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сподівався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розвинути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охопить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транспорту,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районах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моря і Арктики.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усвідомлюючи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Москвою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1300-кілометровий кордон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хвилювати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східного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сусіда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переконало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членства в НАТО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НАТО,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підкоряючись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Як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побудований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основному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консенсусу,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домагається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тісної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такими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 ЗЄС та НАТО, у той же час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пропонуючи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моря.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липня 1999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естафета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перейшла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прем’єрміністр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включив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відводилося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відносинам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сусідами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перш за все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ініціювала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націленого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широкої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нею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напрямках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йшла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Президентої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Мартті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Ахтісаарі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довірено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переговорах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президентом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завершилися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прийняттям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Слободаном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Мілошевичем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мирного плану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припиненням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натовських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президент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Пааво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Ліппонен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представив парламенту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заручився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схваленням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довгостроковий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характер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передані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дивляться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як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на генератора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40-сторінкова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розділена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девіз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Потужну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відкриту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тисячоліття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Розділи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названі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стабільна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конкурентоспроможна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глобально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впливовий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стояло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Косово.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винесене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окремий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осмислювалися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шукалися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визнавалося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косовська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криза створила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кинула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виклик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вступила до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1995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енергійно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так само як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союз.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перших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сприйняли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Маастрихтські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зобов’язалася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стати одним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членів-засновників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нагородила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керуючих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центрального банку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1999 року.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Гельсінкі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2003 року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контингенту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кризами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чисельністю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50-60 тис.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двомісячною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готовністю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висловлювалася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мобільних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прагне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впливове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становище в ЄС.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рамках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втрачаючи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становища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СЗПБ.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1956 р.,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перших активно включилась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миротворчі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них взяли участь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40 тис.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миротворців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2007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участь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Чаді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Центрально-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Африканській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Республіці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До 1995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lastRenderedPageBreak/>
        <w:t>ґрунтувалося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принципах. Перший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мандата ООН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ОБСЄ.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заборона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миру.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солдатам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дозволялося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зброю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цілях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самооборони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зайняти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гнучку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внесено низку поправок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дозволити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типах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кризами,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право на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розширену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миротворчість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силових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Нова поправка в 2001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адаптувала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1999 р., давали право ЄС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кризами.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скасована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заборона на участь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операціях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миру.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2006 р. 50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парламенту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1/4) в основному з числа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внесли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консультативного референдуму,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мотивуючи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позбавляє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народ права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Євроконституції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м’якше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солідарність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підтримана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членами ЄС.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модифікації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оборону.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Амстердамського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кваліфікованої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голосуванні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СЗПБ.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проектом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погодилася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члени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зобов’язані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один одного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включено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згадку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формальні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оборони.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заключній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2003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погодилася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формулюванням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оборонні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висунула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нейтральні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«У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держава-член союзу стане жертвою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-члени союзу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надали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наявними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51 Статуту ООН». </w:t>
      </w:r>
    </w:p>
    <w:p w14:paraId="24FB291F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0CA75" w14:textId="77777777" w:rsidR="0076523C" w:rsidRPr="0076523C" w:rsidRDefault="0076523C" w:rsidP="0076523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Основні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напрями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зовнішньополітичного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курсу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60E4438C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 Основні напрямки зовнішньополітичного курсу Ісландії визначаються членством країни в НАТО, військово-політичним співробітництвом із США, багатосторонніми зв’язками з північноєвропейськими країнами, тісними зв’язками з Європейським союзом в контексті угоди про ЄЕП та участь в ООН, особливо з екологічних та природоохоронних питань.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Пріоритетним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традицією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член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БаренцевоЄвроарктичної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, Ради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держав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моря,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Арктичної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ради. У 1999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і при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акценту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традиційні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біоресурсів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моря,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до порядку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денного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 і т.д.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суміжних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 (до них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віднесені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російської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Заходу).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Спостерігалося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деяке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Комітеті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травнялистопада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РЄ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зайняла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косовська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проблематика,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структурної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вітає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досягнутий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lastRenderedPageBreak/>
        <w:t>зброї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нерозповсюдження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ООН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справах як одного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домагається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ООН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непостійного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члена.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загальноєвропейського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прийнявши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активізацію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рамках ОБСЄ.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ставить за мету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ЄС,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ЄС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в рамках ЄЕП.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угоди з державами-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учасницями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Шенгенських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домовленостей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стала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асоційованим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оновленому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Правила «Шенгену» вступили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1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2000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1992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приєдналась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Західноєвропейського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союзу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асоційований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член.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ЗЄС в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викликала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занепокоєння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колах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віддалить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яка не є членом ЄС,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оборони. Одним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в першу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забрудненням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морського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присвяченій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проблемі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парниковому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Кіото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1997 р.,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делегація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зосередила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визнанні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квоти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парниковий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відновлюваних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особливого становища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 членом НАТО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заснування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альянсу в 1949 р.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Мадридському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1997 р.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запропонованій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США, а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Вашингтонському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1999 р.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схвалила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НАТО,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стратегічну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Ісландське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продемонструвало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блоці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нерозривно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співпрацею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США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виражається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створена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підписаної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1951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американсько-ісландської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взяли на себе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оборону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 (сама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сил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берегової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командуванням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об’єднані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Оборонні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). США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підтвердили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1996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до договору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1951 р.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протокол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обстановці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останнього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тут входили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командних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1 800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військовослужбовців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цивільних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850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персоналу,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військовослужбовці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Нідерландів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Літаки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Р-3С і AWACS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розміщувалися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акваторій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врешті-решт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дійшла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недоцільність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тривалих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пропонуючи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зараз 250 млн.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доларів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покриваються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американцями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досягнута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домовленість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ВПС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2006 р. Але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означало,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база в США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припинила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реструктуризацією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новою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стратегією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передислокації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по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збережуться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r w:rsidRPr="0076523C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виділяється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відгороджена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аеропорту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підтримуватися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ісландцями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літаки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підтвердили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американсько-ісландської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взяли на себе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оборону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НАТО, у тому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оплату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нова угода, яка повинна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закласти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основу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США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в рамках НАТО.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мало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зміниться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відігравав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у роки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». База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оповіщення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протиповітряної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оборони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морської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Північно-атлантичному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кризової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база повинна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зіграти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роль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Західною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США,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доставки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підкріплень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Асгейрссон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підкреслюючи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американсько-ісландського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договору 1951 р.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зроблених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заявив,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оборону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націями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Заходу є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назавжди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залишиться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наріжним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каменем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ісландська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опозиція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критикою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США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контингенту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Кефлавік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вважаючи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послабить весь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фланг НАТО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Ймовірно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порушене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денонсацію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договору з США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у всякому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перегляд.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Висловлюється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думка про те,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зажадати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НАТО, але й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приєднавшись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новостворюваної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.</w:t>
      </w:r>
    </w:p>
    <w:p w14:paraId="152E3A72" w14:textId="77777777" w:rsidR="0076523C" w:rsidRPr="0076523C" w:rsidRDefault="0076523C" w:rsidP="007652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38EDBD" w14:textId="77777777" w:rsidR="0076523C" w:rsidRPr="0076523C" w:rsidRDefault="0076523C" w:rsidP="0076523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§ </w:t>
      </w:r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3</w:t>
      </w:r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Північна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рада – система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i/>
          <w:iCs/>
          <w:sz w:val="24"/>
          <w:szCs w:val="24"/>
        </w:rPr>
        <w:t>Європи</w:t>
      </w:r>
      <w:proofErr w:type="spellEnd"/>
      <w:r w:rsidRPr="0076523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763C6D78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  <w:lang w:val="uk-UA"/>
        </w:rPr>
        <w:t xml:space="preserve"> Різні плани посилення співпраці між країнами Північної Європи висувалися неодноразово, зокрема ідея оборонного союзу (1949 р.) та економічної інтеграції (так званий план НОРДЕК). </w:t>
      </w:r>
      <w:r w:rsidRPr="0076523C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невдачі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розійшлися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вступили в НАТО, у той час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вибрали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неприєднання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блоків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1971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створенням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доповнила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міжпарламентську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міжурядовою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формального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прагматичного характеру.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(1971 р.)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(1972 р.).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створена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висунула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Міжпарламентського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союзу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1951 р. і яка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підтримана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чотирма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Скандинавськими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(з 1956 р.),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самоврядні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Гренландія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(з 1984 р.),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Аландські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Фарерські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(з 1970 р.).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1951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підготував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проект Статуту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схвалений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справ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Скандинавських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Правовою основою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Гельсінський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1962 р.,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міжпарламентському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міжурядовому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характер,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не є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обов’язковими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рекомендаційний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характер,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 широко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Рада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майбутні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роки. Рада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ради, але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lastRenderedPageBreak/>
        <w:t>виробити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У 1973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розташувався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Осло.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розмістився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Копенгагені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1986 р.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обидва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Секретаріату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переведені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Копенгаген.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523C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виконавчі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комітети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міністри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справ проводили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два рази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то з 1992 р.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по три рази.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поглибленням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інтеграційної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появою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зайняли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північноєвропейськими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балтійське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Калінінградською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областю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ЄС, і тому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просувають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ЄС, Ради держав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Балтійського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моря і Ради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Баренцового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Євроарктичного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Хвилюють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стійкості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відбивається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регіональної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якістю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-партнерах;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угоду про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реальному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секторі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інфраструктурного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царині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повітряного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транспорту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авіаційна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САС);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фінансово-інвестиційного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здійснюваного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інвестиційний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банк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(NEFCO);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мереж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стабільного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електричною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енергією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Нордель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»);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супутникового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Інмарсат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»);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стандарту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телекомунікаційного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(NMT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Telecommunication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Nordiska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Mobiltelefonengruppen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 і т.д.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простого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видно,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служать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стрижнем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опорою для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весь комплекс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соціально-економічних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науково-технічних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формальній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неформальній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внітрішньорегіональної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переплетення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торговельних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інвестиційних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міжлюдських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правового,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культурного простору,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випереджають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країни-учасниці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яке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повним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таких формах,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уніфікація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гармонізація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зникають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видозмінюються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мультикультурного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* * * На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північноєвропейські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 кредиторами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Норвегію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але без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3C">
        <w:rPr>
          <w:rFonts w:ascii="Times New Roman" w:hAnsi="Times New Roman" w:cs="Times New Roman"/>
          <w:sz w:val="24"/>
          <w:szCs w:val="24"/>
        </w:rPr>
        <w:t>до бюджету</w:t>
      </w:r>
      <w:proofErr w:type="gramEnd"/>
      <w:r w:rsidRPr="0076523C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коммунітарних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каналів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аграрних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фонду ЄС).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нетто-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північноєвропейські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фігурують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фінансуванні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вирівнювання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підтримуються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ЄС, у тому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країн-новачків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.</w:t>
      </w:r>
    </w:p>
    <w:p w14:paraId="52BBD1E3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C37C2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b/>
          <w:bCs/>
          <w:sz w:val="24"/>
          <w:szCs w:val="24"/>
        </w:rPr>
        <w:t>Контрольні</w:t>
      </w:r>
      <w:proofErr w:type="spellEnd"/>
      <w:r w:rsidRPr="00765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b/>
          <w:bCs/>
          <w:sz w:val="24"/>
          <w:szCs w:val="24"/>
        </w:rPr>
        <w:t>запитання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314CF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?</w:t>
      </w:r>
    </w:p>
    <w:p w14:paraId="56530F7B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 2. У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?</w:t>
      </w:r>
    </w:p>
    <w:p w14:paraId="65804974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приєдналась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до ЄС? </w:t>
      </w:r>
    </w:p>
    <w:p w14:paraId="512967DF" w14:textId="77777777" w:rsid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97D35DA" w14:textId="058EC508" w:rsidR="0076523C" w:rsidRP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23C">
        <w:rPr>
          <w:rFonts w:ascii="Times New Roman" w:hAnsi="Times New Roman" w:cs="Times New Roman"/>
          <w:sz w:val="24"/>
          <w:szCs w:val="24"/>
        </w:rPr>
        <w:t xml:space="preserve">5. Яка роль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3C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6523C">
        <w:rPr>
          <w:rFonts w:ascii="Times New Roman" w:hAnsi="Times New Roman" w:cs="Times New Roman"/>
          <w:sz w:val="24"/>
          <w:szCs w:val="24"/>
        </w:rPr>
        <w:t>?</w:t>
      </w:r>
    </w:p>
    <w:p w14:paraId="7EAB6694" w14:textId="77777777" w:rsidR="0076523C" w:rsidRPr="0076523C" w:rsidRDefault="0076523C" w:rsidP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82B70B" w14:textId="77777777" w:rsidR="0076523C" w:rsidRPr="0076523C" w:rsidRDefault="007652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23C" w:rsidRPr="0076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C"/>
    <w:rsid w:val="0076523C"/>
    <w:rsid w:val="008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5207"/>
  <w15:chartTrackingRefBased/>
  <w15:docId w15:val="{619C28EA-8BD1-42B5-8135-98D265E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3484</Words>
  <Characters>19861</Characters>
  <Application>Microsoft Office Word</Application>
  <DocSecurity>0</DocSecurity>
  <Lines>165</Lines>
  <Paragraphs>46</Paragraphs>
  <ScaleCrop>false</ScaleCrop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2022-01-08T19:20:00Z</dcterms:created>
  <dcterms:modified xsi:type="dcterms:W3CDTF">2022-01-08T19:28:00Z</dcterms:modified>
</cp:coreProperties>
</file>