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7C" w:rsidRPr="00C94736" w:rsidRDefault="00D80B7C" w:rsidP="00D80B7C">
      <w:pPr>
        <w:tabs>
          <w:tab w:val="left" w:pos="0"/>
        </w:tabs>
        <w:contextualSpacing/>
        <w:jc w:val="center"/>
        <w:rPr>
          <w:b/>
        </w:rPr>
      </w:pPr>
      <w:r w:rsidRPr="00C94736">
        <w:rPr>
          <w:b/>
        </w:rPr>
        <w:t>Змістовий модуль 3.</w:t>
      </w:r>
    </w:p>
    <w:p w:rsidR="00D80B7C" w:rsidRPr="00C94736" w:rsidRDefault="00D80B7C" w:rsidP="00D80B7C">
      <w:pPr>
        <w:tabs>
          <w:tab w:val="left" w:pos="0"/>
        </w:tabs>
        <w:contextualSpacing/>
        <w:jc w:val="center"/>
        <w:rPr>
          <w:b/>
        </w:rPr>
      </w:pPr>
    </w:p>
    <w:p w:rsidR="00D80B7C" w:rsidRPr="00C94736" w:rsidRDefault="00D80B7C" w:rsidP="00D80B7C">
      <w:pPr>
        <w:tabs>
          <w:tab w:val="left" w:pos="0"/>
        </w:tabs>
        <w:contextualSpacing/>
        <w:jc w:val="center"/>
        <w:rPr>
          <w:b/>
          <w:color w:val="0070C0"/>
        </w:rPr>
      </w:pPr>
      <w:bookmarkStart w:id="0" w:name="_GoBack"/>
      <w:r w:rsidRPr="00C94736">
        <w:rPr>
          <w:b/>
          <w:color w:val="0070C0"/>
        </w:rPr>
        <w:t>Лабораторне заняття 5</w:t>
      </w:r>
    </w:p>
    <w:bookmarkEnd w:id="0"/>
    <w:p w:rsidR="00D80B7C" w:rsidRPr="00C94736" w:rsidRDefault="00D80B7C" w:rsidP="00D80B7C">
      <w:pPr>
        <w:tabs>
          <w:tab w:val="left" w:pos="0"/>
        </w:tabs>
        <w:contextualSpacing/>
        <w:jc w:val="center"/>
        <w:rPr>
          <w:b/>
        </w:rPr>
      </w:pPr>
    </w:p>
    <w:p w:rsidR="00D80B7C" w:rsidRPr="00C24DDF" w:rsidRDefault="00C24DDF" w:rsidP="00D80B7C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color w:val="FF0000"/>
          <w:sz w:val="40"/>
          <w:szCs w:val="40"/>
          <w:lang w:val="uk-UA"/>
        </w:rPr>
      </w:pPr>
      <w:hyperlink r:id="rId5" w:tooltip="Тема 6. Практична реалізація ПР-кампанії." w:history="1">
        <w:r w:rsidR="00D80B7C" w:rsidRPr="00C24DDF">
          <w:rPr>
            <w:rStyle w:val="a4"/>
            <w:b/>
            <w:bCs/>
            <w:color w:val="FF0000"/>
            <w:sz w:val="40"/>
            <w:szCs w:val="40"/>
            <w:u w:val="none"/>
            <w:lang w:val="uk-UA"/>
          </w:rPr>
          <w:t xml:space="preserve">Тема 5. Практична реалізація </w:t>
        </w:r>
        <w:r w:rsidR="00D80B7C" w:rsidRPr="00C24DDF">
          <w:rPr>
            <w:b/>
            <w:color w:val="FF0000"/>
            <w:sz w:val="40"/>
            <w:szCs w:val="40"/>
            <w:lang w:val="uk-UA"/>
          </w:rPr>
          <w:t>рекламної та</w:t>
        </w:r>
        <w:r w:rsidR="00D80B7C" w:rsidRPr="00C24DDF">
          <w:rPr>
            <w:color w:val="FF0000"/>
            <w:sz w:val="40"/>
            <w:szCs w:val="40"/>
            <w:lang w:val="uk-UA"/>
          </w:rPr>
          <w:t xml:space="preserve"> </w:t>
        </w:r>
        <w:r w:rsidR="00D80B7C" w:rsidRPr="00C24DDF">
          <w:rPr>
            <w:rStyle w:val="a4"/>
            <w:b/>
            <w:bCs/>
            <w:color w:val="FF0000"/>
            <w:sz w:val="40"/>
            <w:szCs w:val="40"/>
            <w:u w:val="none"/>
            <w:lang w:val="uk-UA"/>
          </w:rPr>
          <w:t>ПР-кампанії.</w:t>
        </w:r>
      </w:hyperlink>
    </w:p>
    <w:p w:rsidR="00D80B7C" w:rsidRPr="00C94736" w:rsidRDefault="00D80B7C" w:rsidP="00D80B7C">
      <w:pPr>
        <w:pStyle w:val="a3"/>
        <w:shd w:val="clear" w:color="auto" w:fill="FFFFFF"/>
        <w:spacing w:before="0" w:beforeAutospacing="0"/>
        <w:contextualSpacing/>
        <w:rPr>
          <w:lang w:val="uk-UA"/>
        </w:rPr>
      </w:pPr>
    </w:p>
    <w:p w:rsidR="00D80B7C" w:rsidRPr="00C94736" w:rsidRDefault="00D80B7C" w:rsidP="00D80B7C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D80B7C" w:rsidRPr="00C94736" w:rsidRDefault="00D80B7C" w:rsidP="00D80B7C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C94736">
        <w:rPr>
          <w:lang w:val="uk-UA"/>
        </w:rPr>
        <w:t xml:space="preserve">Особливості етапу: цільові групи громадськості та методика вирішення  рекламних та ПР-проблеми. </w:t>
      </w:r>
    </w:p>
    <w:p w:rsidR="00D80B7C" w:rsidRPr="00C94736" w:rsidRDefault="00D80B7C" w:rsidP="00D80B7C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C94736">
        <w:rPr>
          <w:lang w:val="uk-UA"/>
        </w:rPr>
        <w:t>Комунікативна складова рекламної та ПР-кампанії: типові моделі комунікації.</w:t>
      </w:r>
    </w:p>
    <w:p w:rsidR="00D80B7C" w:rsidRPr="00C94736" w:rsidRDefault="00D80B7C" w:rsidP="00D80B7C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C94736">
        <w:rPr>
          <w:lang w:val="uk-UA"/>
        </w:rPr>
        <w:t xml:space="preserve">Комунікаційні фактори ефективності рекламної та ПР-кампанії. Спеціальні події у рекламній та ПР-кампанії: завдання та класифікації. </w:t>
      </w:r>
    </w:p>
    <w:p w:rsidR="00D80B7C" w:rsidRPr="00C94736" w:rsidRDefault="00D80B7C" w:rsidP="00D80B7C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C94736">
        <w:rPr>
          <w:lang w:val="uk-UA"/>
        </w:rPr>
        <w:t xml:space="preserve">Принципи побудови рекламних та ПР-заходів. </w:t>
      </w:r>
    </w:p>
    <w:p w:rsidR="00D80B7C" w:rsidRPr="00C94736" w:rsidRDefault="00D80B7C" w:rsidP="00D80B7C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C94736">
        <w:rPr>
          <w:lang w:val="uk-UA"/>
        </w:rPr>
        <w:t xml:space="preserve">Стандартизація прийняття рішення про включення заходу у рекламну та ПР-кампанію. </w:t>
      </w:r>
    </w:p>
    <w:p w:rsidR="00D80B7C" w:rsidRPr="00C94736" w:rsidRDefault="00D80B7C" w:rsidP="00D80B7C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C94736">
        <w:rPr>
          <w:lang w:val="uk-UA"/>
        </w:rPr>
        <w:t>Технології створення та просування ПР-подій: чотири «Р» та дії після заходу.</w:t>
      </w:r>
    </w:p>
    <w:p w:rsidR="00D80B7C" w:rsidRPr="00C94736" w:rsidRDefault="00D80B7C" w:rsidP="00D80B7C">
      <w:pPr>
        <w:pStyle w:val="a3"/>
        <w:shd w:val="clear" w:color="auto" w:fill="FFFFFF"/>
        <w:spacing w:before="0" w:beforeAutospacing="0"/>
        <w:ind w:firstLine="567"/>
        <w:contextualSpacing/>
        <w:jc w:val="both"/>
      </w:pPr>
    </w:p>
    <w:p w:rsidR="00D80B7C" w:rsidRPr="00C94736" w:rsidRDefault="00D80B7C" w:rsidP="00D80B7C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</w:rPr>
      </w:pPr>
    </w:p>
    <w:p w:rsidR="00D80B7C" w:rsidRPr="00C94736" w:rsidRDefault="00D80B7C" w:rsidP="00D80B7C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D80B7C" w:rsidRPr="00C94736" w:rsidRDefault="00D80B7C" w:rsidP="00D80B7C">
      <w:pPr>
        <w:pStyle w:val="2"/>
        <w:shd w:val="clear" w:color="auto" w:fill="FFFFFF"/>
        <w:spacing w:before="0" w:beforeAutospacing="0" w:after="0" w:afterAutospacing="0" w:line="336" w:lineRule="atLeast"/>
        <w:ind w:left="567"/>
        <w:textAlignment w:val="baseline"/>
        <w:rPr>
          <w:i/>
          <w:spacing w:val="-15"/>
          <w:sz w:val="24"/>
          <w:szCs w:val="24"/>
          <w:lang w:val="uk-UA"/>
        </w:rPr>
      </w:pPr>
      <w:r w:rsidRPr="00C94736">
        <w:rPr>
          <w:i/>
          <w:sz w:val="24"/>
          <w:szCs w:val="24"/>
          <w:shd w:val="clear" w:color="auto" w:fill="FFFFFF"/>
          <w:lang w:val="uk-UA"/>
        </w:rPr>
        <w:t xml:space="preserve">Ознайомитися зі статтею Л. </w:t>
      </w:r>
      <w:proofErr w:type="spellStart"/>
      <w:r w:rsidRPr="00C94736">
        <w:rPr>
          <w:i/>
          <w:sz w:val="24"/>
          <w:szCs w:val="24"/>
          <w:shd w:val="clear" w:color="auto" w:fill="FFFFFF"/>
          <w:lang w:val="uk-UA"/>
        </w:rPr>
        <w:t>Зарванської</w:t>
      </w:r>
      <w:proofErr w:type="spellEnd"/>
      <w:r w:rsidRPr="00C94736">
        <w:rPr>
          <w:i/>
          <w:sz w:val="24"/>
          <w:szCs w:val="24"/>
          <w:shd w:val="clear" w:color="auto" w:fill="FFFFFF"/>
          <w:lang w:val="uk-UA"/>
        </w:rPr>
        <w:t xml:space="preserve"> «</w:t>
      </w:r>
      <w:r w:rsidRPr="00C94736">
        <w:rPr>
          <w:i/>
          <w:spacing w:val="-15"/>
          <w:sz w:val="24"/>
          <w:szCs w:val="24"/>
          <w:lang w:val="uk-UA"/>
        </w:rPr>
        <w:t xml:space="preserve">Проведення </w:t>
      </w:r>
      <w:r w:rsidRPr="00C94736">
        <w:rPr>
          <w:i/>
          <w:spacing w:val="-15"/>
          <w:sz w:val="24"/>
          <w:szCs w:val="24"/>
        </w:rPr>
        <w:t>PR</w:t>
      </w:r>
      <w:r w:rsidRPr="00C94736">
        <w:rPr>
          <w:i/>
          <w:spacing w:val="-15"/>
          <w:sz w:val="24"/>
          <w:szCs w:val="24"/>
          <w:lang w:val="uk-UA"/>
        </w:rPr>
        <w:t xml:space="preserve">-кампанії на прикладі ТОВ «ЮЛІУС ТРЕЙДИНГ» </w:t>
      </w:r>
      <w:r w:rsidRPr="00C94736">
        <w:rPr>
          <w:i/>
          <w:sz w:val="24"/>
          <w:szCs w:val="24"/>
          <w:shd w:val="clear" w:color="auto" w:fill="FFFFFF"/>
          <w:lang w:val="uk-UA"/>
        </w:rPr>
        <w:t>(2014)</w:t>
      </w:r>
      <w:r w:rsidRPr="00C94736">
        <w:rPr>
          <w:i/>
          <w:sz w:val="24"/>
          <w:szCs w:val="24"/>
          <w:shd w:val="clear" w:color="auto" w:fill="FFFFFF"/>
          <w:lang w:val="uk-UA"/>
        </w:rPr>
        <w:br/>
      </w:r>
      <w:r w:rsidRPr="00C94736">
        <w:rPr>
          <w:i/>
          <w:sz w:val="24"/>
          <w:szCs w:val="24"/>
          <w:shd w:val="clear" w:color="auto" w:fill="FFFFFF"/>
          <w:lang w:val="en-US"/>
        </w:rPr>
        <w:t>URL</w:t>
      </w:r>
      <w:r w:rsidRPr="00C94736">
        <w:rPr>
          <w:i/>
          <w:sz w:val="24"/>
          <w:szCs w:val="24"/>
          <w:shd w:val="clear" w:color="auto" w:fill="FFFFFF"/>
          <w:lang w:val="uk-UA"/>
        </w:rPr>
        <w:t>:</w:t>
      </w:r>
      <w:r w:rsidRPr="00C94736">
        <w:rPr>
          <w:i/>
          <w:sz w:val="24"/>
          <w:szCs w:val="24"/>
          <w:lang w:val="uk-UA"/>
        </w:rPr>
        <w:t xml:space="preserve"> https://naub.oa.edu.ua/2014/provedennya-pr-kampaniji-na-prykladi-tov-yulius-trejdynh/</w:t>
      </w:r>
    </w:p>
    <w:p w:rsidR="00D80B7C" w:rsidRPr="00C94736" w:rsidRDefault="00D80B7C" w:rsidP="00D80B7C">
      <w:pPr>
        <w:ind w:left="567"/>
        <w:jc w:val="both"/>
        <w:rPr>
          <w:b/>
          <w:i/>
        </w:rPr>
      </w:pPr>
      <w:r w:rsidRPr="00C94736">
        <w:rPr>
          <w:b/>
          <w:i/>
          <w:shd w:val="clear" w:color="auto" w:fill="FFFFFF"/>
          <w:lang w:val="en-US"/>
        </w:rPr>
        <w:t> </w:t>
      </w:r>
      <w:r w:rsidRPr="00C94736">
        <w:rPr>
          <w:b/>
          <w:i/>
          <w:shd w:val="clear" w:color="auto" w:fill="FFFFFF"/>
        </w:rPr>
        <w:t>Проаналізувати та підготувати конспект у вигляді презентації (7-10 слайдів).</w:t>
      </w:r>
    </w:p>
    <w:p w:rsidR="00D80B7C" w:rsidRPr="00C94736" w:rsidRDefault="00D80B7C" w:rsidP="00D80B7C">
      <w:pPr>
        <w:ind w:left="567"/>
        <w:jc w:val="both"/>
        <w:rPr>
          <w:b/>
          <w:i/>
          <w:u w:val="single"/>
        </w:rPr>
      </w:pPr>
      <w:r w:rsidRPr="00C94736">
        <w:rPr>
          <w:b/>
          <w:bCs/>
          <w:i/>
          <w:lang w:eastAsia="ru-RU"/>
        </w:rPr>
        <w:t>Термінологічний диктант</w:t>
      </w:r>
    </w:p>
    <w:p w:rsidR="00D80B7C" w:rsidRPr="00C94736" w:rsidRDefault="00D80B7C" w:rsidP="00D80B7C">
      <w:pPr>
        <w:jc w:val="center"/>
        <w:rPr>
          <w:b/>
          <w:i/>
          <w:u w:val="single"/>
        </w:rPr>
      </w:pPr>
    </w:p>
    <w:p w:rsidR="00C94736" w:rsidRPr="00C94736" w:rsidRDefault="00C94736" w:rsidP="00D80B7C">
      <w:pPr>
        <w:jc w:val="center"/>
        <w:rPr>
          <w:b/>
          <w:i/>
          <w:u w:val="single"/>
        </w:rPr>
      </w:pPr>
    </w:p>
    <w:p w:rsidR="00C94736" w:rsidRPr="00C94736" w:rsidRDefault="00C94736" w:rsidP="00D80B7C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Термінологічний диктант</w:t>
      </w:r>
    </w:p>
    <w:p w:rsidR="00C94736" w:rsidRPr="00C94736" w:rsidRDefault="00C94736" w:rsidP="00D80B7C">
      <w:pPr>
        <w:jc w:val="center"/>
        <w:rPr>
          <w:b/>
          <w:i/>
          <w:u w:val="single"/>
        </w:rPr>
      </w:pP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PRA (</w:t>
      </w:r>
      <w:proofErr w:type="spellStart"/>
      <w:r w:rsidRPr="00C94736">
        <w:rPr>
          <w:b/>
          <w:sz w:val="24"/>
          <w:lang w:val="uk-UA"/>
        </w:rPr>
        <w:t>International</w:t>
      </w:r>
      <w:proofErr w:type="spellEnd"/>
      <w:r w:rsidRPr="00C94736">
        <w:rPr>
          <w:b/>
          <w:sz w:val="24"/>
          <w:lang w:val="uk-UA"/>
        </w:rPr>
        <w:t xml:space="preserve"> </w:t>
      </w:r>
      <w:proofErr w:type="spellStart"/>
      <w:r w:rsidRPr="00C94736">
        <w:rPr>
          <w:b/>
          <w:sz w:val="24"/>
          <w:lang w:val="uk-UA"/>
        </w:rPr>
        <w:t>Public</w:t>
      </w:r>
      <w:proofErr w:type="spellEnd"/>
      <w:r w:rsidRPr="00C94736">
        <w:rPr>
          <w:b/>
          <w:sz w:val="24"/>
          <w:lang w:val="uk-UA"/>
        </w:rPr>
        <w:t xml:space="preserve"> </w:t>
      </w:r>
      <w:proofErr w:type="spellStart"/>
      <w:r w:rsidRPr="00C94736">
        <w:rPr>
          <w:b/>
          <w:sz w:val="24"/>
          <w:lang w:val="uk-UA"/>
        </w:rPr>
        <w:t>Relations</w:t>
      </w:r>
      <w:proofErr w:type="spellEnd"/>
      <w:r w:rsidRPr="00C94736">
        <w:rPr>
          <w:b/>
          <w:sz w:val="24"/>
          <w:lang w:val="uk-UA"/>
        </w:rPr>
        <w:t xml:space="preserve"> </w:t>
      </w:r>
      <w:proofErr w:type="spellStart"/>
      <w:r w:rsidRPr="00C94736">
        <w:rPr>
          <w:b/>
          <w:sz w:val="24"/>
          <w:lang w:val="uk-UA"/>
        </w:rPr>
        <w:t>Association</w:t>
      </w:r>
      <w:proofErr w:type="spellEnd"/>
      <w:r w:rsidRPr="00C94736">
        <w:rPr>
          <w:b/>
          <w:sz w:val="24"/>
          <w:lang w:val="uk-UA"/>
        </w:rPr>
        <w:t>)</w:t>
      </w:r>
      <w:r w:rsidRPr="00C94736">
        <w:rPr>
          <w:bCs/>
          <w:sz w:val="24"/>
          <w:lang w:val="uk-UA"/>
        </w:rPr>
        <w:t xml:space="preserve"> – міжнародна асоціація служб </w:t>
      </w:r>
      <w:proofErr w:type="spellStart"/>
      <w:r w:rsidRPr="00C94736">
        <w:rPr>
          <w:bCs/>
          <w:sz w:val="24"/>
          <w:lang w:val="uk-UA"/>
        </w:rPr>
        <w:t>зв'язків</w:t>
      </w:r>
      <w:proofErr w:type="spellEnd"/>
      <w:r w:rsidRPr="00C94736">
        <w:rPr>
          <w:bCs/>
          <w:sz w:val="24"/>
          <w:lang w:val="uk-UA"/>
        </w:rPr>
        <w:t xml:space="preserve"> з громадськістю; створена в 1955 р З 1974 р має консультативний статус категорії Б при ЮНЕСКО.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 xml:space="preserve">Кейс </w:t>
      </w:r>
      <w:r w:rsidRPr="00C94736">
        <w:rPr>
          <w:bCs/>
          <w:sz w:val="24"/>
          <w:lang w:val="uk-UA"/>
        </w:rPr>
        <w:t xml:space="preserve">– історія або випадок; в практиці діяльності служб </w:t>
      </w:r>
      <w:proofErr w:type="spellStart"/>
      <w:r w:rsidRPr="00C94736">
        <w:rPr>
          <w:bCs/>
          <w:sz w:val="24"/>
          <w:lang w:val="uk-UA"/>
        </w:rPr>
        <w:t>паблік</w:t>
      </w:r>
      <w:proofErr w:type="spellEnd"/>
      <w:r w:rsidRPr="00C94736">
        <w:rPr>
          <w:bCs/>
          <w:sz w:val="24"/>
          <w:lang w:val="uk-UA"/>
        </w:rPr>
        <w:t xml:space="preserve"> </w:t>
      </w:r>
      <w:proofErr w:type="spellStart"/>
      <w:r w:rsidRPr="00C94736">
        <w:rPr>
          <w:bCs/>
          <w:sz w:val="24"/>
          <w:lang w:val="uk-UA"/>
        </w:rPr>
        <w:t>рилейшнз</w:t>
      </w:r>
      <w:proofErr w:type="spellEnd"/>
      <w:r w:rsidRPr="00C94736">
        <w:rPr>
          <w:bCs/>
          <w:sz w:val="24"/>
          <w:lang w:val="uk-UA"/>
        </w:rPr>
        <w:t xml:space="preserve"> – розповідь про позитивний досвід використання споживачами популярних продуктів, послуг компанії або про успішно дозволених проблемних ситуаціях.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proofErr w:type="spellStart"/>
      <w:r w:rsidRPr="00C94736">
        <w:rPr>
          <w:b/>
          <w:sz w:val="24"/>
          <w:lang w:val="uk-UA"/>
        </w:rPr>
        <w:t>Комунікант</w:t>
      </w:r>
      <w:proofErr w:type="spellEnd"/>
      <w:r w:rsidRPr="00C94736">
        <w:rPr>
          <w:bCs/>
          <w:sz w:val="24"/>
          <w:lang w:val="uk-UA"/>
        </w:rPr>
        <w:t xml:space="preserve"> – одержувач повідомлення в комунікаційному процесі.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Комунікатор</w:t>
      </w:r>
      <w:r w:rsidRPr="00C94736">
        <w:rPr>
          <w:bCs/>
          <w:sz w:val="24"/>
          <w:lang w:val="uk-UA"/>
        </w:rPr>
        <w:t xml:space="preserve"> – особа або група осіб, що створюють повідомлення у вигляді друкованих текстів, фільмів, радіо- і </w:t>
      </w:r>
      <w:proofErr w:type="spellStart"/>
      <w:r w:rsidRPr="00C94736">
        <w:rPr>
          <w:bCs/>
          <w:sz w:val="24"/>
          <w:lang w:val="uk-UA"/>
        </w:rPr>
        <w:t>телепередач.Комунікації</w:t>
      </w:r>
      <w:proofErr w:type="spellEnd"/>
      <w:r w:rsidRPr="00C94736">
        <w:rPr>
          <w:bCs/>
          <w:sz w:val="24"/>
          <w:lang w:val="uk-UA"/>
        </w:rPr>
        <w:t xml:space="preserve"> </w:t>
      </w:r>
      <w:proofErr w:type="spellStart"/>
      <w:r w:rsidRPr="00C94736">
        <w:rPr>
          <w:bCs/>
          <w:sz w:val="24"/>
          <w:lang w:val="uk-UA"/>
        </w:rPr>
        <w:t>мікс</w:t>
      </w:r>
      <w:proofErr w:type="spellEnd"/>
      <w:r w:rsidRPr="00C94736">
        <w:rPr>
          <w:bCs/>
          <w:sz w:val="24"/>
          <w:lang w:val="uk-UA"/>
        </w:rPr>
        <w:t xml:space="preserve"> (</w:t>
      </w:r>
      <w:proofErr w:type="spellStart"/>
      <w:r w:rsidRPr="00C94736">
        <w:rPr>
          <w:bCs/>
          <w:sz w:val="24"/>
          <w:lang w:val="uk-UA"/>
        </w:rPr>
        <w:t>communication</w:t>
      </w:r>
      <w:proofErr w:type="spellEnd"/>
      <w:r w:rsidRPr="00C94736">
        <w:rPr>
          <w:bCs/>
          <w:sz w:val="24"/>
          <w:lang w:val="uk-UA"/>
        </w:rPr>
        <w:t xml:space="preserve"> mix) – комплекс комунікацій, що включає елементи реклами в засобах масової інформації, прямі продажі, стимулювання з метою сприяння продажу та зв'язки з громадськістю.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Комунікаційна система</w:t>
      </w:r>
      <w:r w:rsidRPr="00C94736">
        <w:rPr>
          <w:bCs/>
          <w:sz w:val="24"/>
          <w:lang w:val="uk-UA"/>
        </w:rPr>
        <w:t xml:space="preserve"> – комплексна діяльність учасників ринкового обороту, що включає всю сукупність операцій, пов'язаних з підготовкою, збором, перерозподілом інформації, а також встановленням міжособистісних контактів безпосередньо між суб'єктами ринку.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Комунікаційний канал</w:t>
      </w:r>
      <w:r w:rsidRPr="00C94736">
        <w:rPr>
          <w:bCs/>
          <w:sz w:val="24"/>
          <w:lang w:val="uk-UA"/>
        </w:rPr>
        <w:t xml:space="preserve"> – канал просування інформації на ринок і в суспільство.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lastRenderedPageBreak/>
        <w:t>Комунікаційна політика</w:t>
      </w:r>
      <w:r w:rsidRPr="00C94736">
        <w:rPr>
          <w:bCs/>
          <w:sz w:val="24"/>
          <w:lang w:val="uk-UA"/>
        </w:rPr>
        <w:t xml:space="preserve"> – політика, що включає визначення цілей комунікації, шляхів їх досягнення, зміст поширюваної на різні аудиторії інформації, планування зворотного зв'язку.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Комунікаційна мережа</w:t>
      </w:r>
      <w:r w:rsidRPr="00C94736">
        <w:rPr>
          <w:bCs/>
          <w:sz w:val="24"/>
          <w:lang w:val="uk-UA"/>
        </w:rPr>
        <w:t xml:space="preserve"> – певне з'єднання учасників комунікації за допомогою інформаційних потоків. Комунікаційна стратегія – стратегія, яка формує для забезпечення корпоративної місії, яка відображає соціальну концепцію бізнесу.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Комунікаційна структура</w:t>
      </w:r>
      <w:r w:rsidRPr="00C94736">
        <w:rPr>
          <w:bCs/>
          <w:sz w:val="24"/>
          <w:lang w:val="uk-UA"/>
        </w:rPr>
        <w:t xml:space="preserve"> – сукупність каналів, за допомогою яких взаємодіють суб'єкти управління.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Комунікаційний простір</w:t>
      </w:r>
      <w:r w:rsidRPr="00C94736">
        <w:rPr>
          <w:bCs/>
          <w:sz w:val="24"/>
          <w:lang w:val="uk-UA"/>
        </w:rPr>
        <w:t xml:space="preserve"> – організація комунікацій на основі технологічних взаємозв'язків і організаційних структур управління.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Комунікаційні бар'єри</w:t>
      </w:r>
      <w:r w:rsidRPr="00C94736">
        <w:rPr>
          <w:bCs/>
          <w:sz w:val="24"/>
          <w:lang w:val="uk-UA"/>
        </w:rPr>
        <w:t xml:space="preserve"> – перешкоди одержувачу, що не дозволяють ефективно сприймати інформацію. Виділяють три типи бар'єрів: особистісні, фізичні та семантичні.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Комунікаційні ролі</w:t>
      </w:r>
      <w:r w:rsidRPr="00C94736">
        <w:rPr>
          <w:bCs/>
          <w:sz w:val="24"/>
          <w:lang w:val="uk-UA"/>
        </w:rPr>
        <w:t xml:space="preserve"> – функції і дії людей при здійсненні комунікацій.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C94736">
        <w:rPr>
          <w:b/>
          <w:sz w:val="24"/>
          <w:lang w:val="uk-UA"/>
        </w:rPr>
        <w:t>Комунікаційний процес</w:t>
      </w:r>
      <w:r w:rsidRPr="00C94736">
        <w:rPr>
          <w:bCs/>
          <w:sz w:val="24"/>
          <w:lang w:val="uk-UA"/>
        </w:rPr>
        <w:t xml:space="preserve"> – процес, за допомогою якого керівники розвивають систему надання інформації та передачі відомостей великій кількості людей всередині організації та окремим індивідуумам та інститутам за її межами.</w:t>
      </w:r>
    </w:p>
    <w:p w:rsidR="00C94736" w:rsidRPr="00C94736" w:rsidRDefault="00C94736" w:rsidP="00C94736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proofErr w:type="spellStart"/>
      <w:r w:rsidRPr="00C94736">
        <w:rPr>
          <w:b/>
          <w:sz w:val="24"/>
          <w:lang w:val="uk-UA"/>
        </w:rPr>
        <w:t>Ньюсмейкер</w:t>
      </w:r>
      <w:proofErr w:type="spellEnd"/>
      <w:r w:rsidRPr="00C94736">
        <w:rPr>
          <w:bCs/>
          <w:sz w:val="24"/>
          <w:lang w:val="uk-UA"/>
        </w:rPr>
        <w:t xml:space="preserve"> – особа, яка виступає на прес-конференції, брифінгу від імені організації.</w:t>
      </w:r>
    </w:p>
    <w:p w:rsidR="00C94736" w:rsidRPr="00C94736" w:rsidRDefault="00C94736" w:rsidP="00C94736">
      <w:pPr>
        <w:jc w:val="both"/>
        <w:rPr>
          <w:b/>
          <w:i/>
          <w:u w:val="single"/>
        </w:rPr>
      </w:pPr>
    </w:p>
    <w:p w:rsidR="00D80B7C" w:rsidRPr="00C94736" w:rsidRDefault="00D80B7C" w:rsidP="00D80B7C">
      <w:pPr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D80B7C" w:rsidRPr="00C94736" w:rsidRDefault="00D80B7C" w:rsidP="00D80B7C">
      <w:pPr>
        <w:jc w:val="both"/>
      </w:pPr>
    </w:p>
    <w:p w:rsidR="00D80B7C" w:rsidRPr="00C94736" w:rsidRDefault="00D80B7C" w:rsidP="00D80B7C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D80B7C" w:rsidRPr="00C94736" w:rsidRDefault="00D80B7C" w:rsidP="00D80B7C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D80B7C" w:rsidRPr="00C94736" w:rsidRDefault="00D80B7C" w:rsidP="00D80B7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D80B7C" w:rsidRPr="00C94736" w:rsidRDefault="00D80B7C" w:rsidP="00D80B7C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D80B7C" w:rsidRPr="00C94736" w:rsidRDefault="00D80B7C" w:rsidP="00D80B7C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D80B7C" w:rsidRPr="00C94736" w:rsidRDefault="00D80B7C" w:rsidP="00D80B7C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7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lastRenderedPageBreak/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8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D80B7C" w:rsidRPr="00C94736" w:rsidRDefault="00D80B7C" w:rsidP="00D80B7C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D80B7C" w:rsidRPr="00C94736" w:rsidRDefault="00D80B7C" w:rsidP="00D80B7C">
      <w:pPr>
        <w:suppressAutoHyphens w:val="0"/>
        <w:rPr>
          <w:b/>
          <w:lang w:eastAsia="ru-RU"/>
        </w:rPr>
      </w:pPr>
    </w:p>
    <w:p w:rsidR="00D80B7C" w:rsidRPr="00C94736" w:rsidRDefault="00D80B7C" w:rsidP="00D80B7C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D80B7C" w:rsidRPr="00C94736" w:rsidRDefault="00D80B7C" w:rsidP="00D80B7C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9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D80B7C" w:rsidRPr="00C94736" w:rsidRDefault="00D80B7C" w:rsidP="00D80B7C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10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D80B7C" w:rsidRPr="00C94736" w:rsidRDefault="00D80B7C" w:rsidP="00D80B7C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1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D80B7C" w:rsidRPr="00C94736" w:rsidRDefault="00D80B7C" w:rsidP="00D80B7C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2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D80B7C" w:rsidRPr="00C94736" w:rsidRDefault="00D80B7C" w:rsidP="00D80B7C">
      <w:pPr>
        <w:pStyle w:val="21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http://library.znu.edu.ua/</w:t>
        </w:r>
      </w:hyperlink>
    </w:p>
    <w:p w:rsidR="00D80B7C" w:rsidRPr="00C94736" w:rsidRDefault="00D80B7C" w:rsidP="00D80B7C">
      <w:pPr>
        <w:pStyle w:val="21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http://www.nbuv.gov.ua/</w:t>
        </w:r>
      </w:hyperlink>
    </w:p>
    <w:p w:rsidR="00D80B7C" w:rsidRPr="00C94736" w:rsidRDefault="00D80B7C" w:rsidP="00D80B7C">
      <w:pPr>
        <w:pStyle w:val="21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5" w:history="1">
        <w:r w:rsidRPr="00C94736">
          <w:rPr>
            <w:rStyle w:val="a4"/>
          </w:rPr>
          <w:t>https://moodle. znu.edu.ua/</w:t>
        </w:r>
      </w:hyperlink>
    </w:p>
    <w:p w:rsidR="00F769DA" w:rsidRPr="00C94736" w:rsidRDefault="00F769DA">
      <w:pPr>
        <w:rPr>
          <w:lang w:val="en-US"/>
        </w:rPr>
      </w:pPr>
    </w:p>
    <w:sectPr w:rsidR="00F769DA" w:rsidRPr="00C9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E4177D"/>
    <w:multiLevelType w:val="hybridMultilevel"/>
    <w:tmpl w:val="93244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254B0"/>
    <w:multiLevelType w:val="hybridMultilevel"/>
    <w:tmpl w:val="47CA82EA"/>
    <w:lvl w:ilvl="0" w:tplc="4F70C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AC5EBF"/>
    <w:multiLevelType w:val="hybridMultilevel"/>
    <w:tmpl w:val="1706B40A"/>
    <w:lvl w:ilvl="0" w:tplc="2E8AB6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CB"/>
    <w:rsid w:val="00C24DDF"/>
    <w:rsid w:val="00C94736"/>
    <w:rsid w:val="00D80B7C"/>
    <w:rsid w:val="00DE20CB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98606-C64D-4E86-BBB8-8785AD9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7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link w:val="20"/>
    <w:qFormat/>
    <w:rsid w:val="00D80B7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0B7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D80B7C"/>
    <w:rPr>
      <w:color w:val="0000FF"/>
      <w:u w:val="single"/>
    </w:rPr>
  </w:style>
  <w:style w:type="paragraph" w:customStyle="1" w:styleId="21">
    <w:name w:val="Абзац списка2"/>
    <w:basedOn w:val="a"/>
    <w:rsid w:val="00D80B7C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1">
    <w:name w:val="Абзац списка1"/>
    <w:basedOn w:val="a"/>
    <w:rsid w:val="00D80B7C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10">
    <w:name w:val="Без интервала1"/>
    <w:rsid w:val="00D80B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80B7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94736"/>
    <w:pPr>
      <w:suppressAutoHyphens w:val="0"/>
      <w:ind w:left="720"/>
      <w:contextualSpacing/>
    </w:pPr>
    <w:rPr>
      <w:rFonts w:eastAsia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ua/company/reklamnyy-rynok-ukrainy-rastet-dazhe-vo-vremya-krizisa-v-chem-ego-potentsial-13052021-1583" TargetMode="External"/><Relationship Id="rId13" Type="http://schemas.openxmlformats.org/officeDocument/2006/relationships/hyperlink" Target="http://library.zn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style.24tv.ua/ru/den-reklamshhika-2019-ukraine-luchshaja-reklama-za-100-let_n880150" TargetMode="External"/><Relationship Id="rId12" Type="http://schemas.openxmlformats.org/officeDocument/2006/relationships/hyperlink" Target="http://pidruchniki.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229449/" TargetMode="External"/><Relationship Id="rId11" Type="http://schemas.openxmlformats.org/officeDocument/2006/relationships/hyperlink" Target="https://scholar.google.com.ua/" TargetMode="External"/><Relationship Id="rId5" Type="http://schemas.openxmlformats.org/officeDocument/2006/relationships/hyperlink" Target="https://moodle.znu.edu.ua/mod/resource/view.php?id=62003" TargetMode="External"/><Relationship Id="rId15" Type="http://schemas.openxmlformats.org/officeDocument/2006/relationships/hyperlink" Target="https://moodle.znu.edu.ua/" TargetMode="External"/><Relationship Id="rId10" Type="http://schemas.openxmlformats.org/officeDocument/2006/relationships/hyperlink" Target="https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" TargetMode="External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2022-01-19T12:53:00Z</dcterms:created>
  <dcterms:modified xsi:type="dcterms:W3CDTF">2022-01-19T12:57:00Z</dcterms:modified>
</cp:coreProperties>
</file>