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40" w:rsidRPr="00C94736" w:rsidRDefault="00E30240" w:rsidP="00E30240">
      <w:pPr>
        <w:tabs>
          <w:tab w:val="left" w:pos="0"/>
        </w:tabs>
        <w:contextualSpacing/>
        <w:jc w:val="center"/>
        <w:rPr>
          <w:b/>
        </w:rPr>
      </w:pPr>
      <w:r>
        <w:rPr>
          <w:b/>
        </w:rPr>
        <w:t>Змістовий модуль 6</w:t>
      </w:r>
      <w:r w:rsidRPr="00C94736">
        <w:rPr>
          <w:b/>
        </w:rPr>
        <w:t>.</w:t>
      </w:r>
    </w:p>
    <w:p w:rsidR="00E30240" w:rsidRPr="00C94736" w:rsidRDefault="00E30240" w:rsidP="00E30240">
      <w:pPr>
        <w:tabs>
          <w:tab w:val="left" w:pos="0"/>
        </w:tabs>
        <w:contextualSpacing/>
        <w:jc w:val="center"/>
        <w:rPr>
          <w:b/>
        </w:rPr>
      </w:pPr>
    </w:p>
    <w:p w:rsidR="00E30240" w:rsidRDefault="00E30240" w:rsidP="00E30240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 xml:space="preserve">Лабораторне заняття </w:t>
      </w:r>
      <w:r>
        <w:rPr>
          <w:b/>
          <w:color w:val="0070C0"/>
        </w:rPr>
        <w:t>12</w:t>
      </w:r>
    </w:p>
    <w:p w:rsidR="00E30240" w:rsidRPr="00E30240" w:rsidRDefault="00E30240" w:rsidP="00E30240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sz w:val="40"/>
          <w:szCs w:val="40"/>
          <w:lang w:val="uk-UA"/>
        </w:rPr>
      </w:pPr>
      <w:r w:rsidRPr="00E30240">
        <w:rPr>
          <w:b/>
          <w:bCs/>
          <w:caps/>
          <w:color w:val="FF0000"/>
          <w:sz w:val="40"/>
          <w:szCs w:val="40"/>
          <w:lang w:val="uk-UA"/>
        </w:rPr>
        <w:t>Т</w:t>
      </w:r>
      <w:r w:rsidRPr="00E30240">
        <w:rPr>
          <w:b/>
          <w:bCs/>
          <w:color w:val="FF0000"/>
          <w:sz w:val="40"/>
          <w:szCs w:val="40"/>
          <w:lang w:val="uk-UA"/>
        </w:rPr>
        <w:t>ема 12. Рекламні та ПР-кампанії політичних партій та лідерів.</w:t>
      </w:r>
    </w:p>
    <w:p w:rsidR="00E30240" w:rsidRPr="00527CE2" w:rsidRDefault="00E30240" w:rsidP="00E30240">
      <w:pPr>
        <w:pStyle w:val="a3"/>
        <w:shd w:val="clear" w:color="auto" w:fill="FFFFFF"/>
        <w:spacing w:before="0" w:beforeAutospacing="0"/>
        <w:contextualSpacing/>
        <w:rPr>
          <w:color w:val="FF0000"/>
          <w:lang w:val="uk-UA"/>
        </w:rPr>
      </w:pPr>
    </w:p>
    <w:p w:rsidR="00E30240" w:rsidRDefault="00E30240" w:rsidP="00E30240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E30240" w:rsidRPr="00C94736" w:rsidRDefault="00E30240" w:rsidP="00E30240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</w:p>
    <w:p w:rsidR="00E30240" w:rsidRPr="0054696B" w:rsidRDefault="00E30240" w:rsidP="00E30240">
      <w:pPr>
        <w:pStyle w:val="a3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30240" w:rsidRDefault="00E30240" w:rsidP="00E30240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ПР</w:t>
      </w:r>
      <w:r>
        <w:rPr>
          <w:lang w:val="uk-UA"/>
        </w:rPr>
        <w:t xml:space="preserve"> та реклама </w:t>
      </w:r>
      <w:r w:rsidRPr="00F40029">
        <w:rPr>
          <w:lang w:val="uk-UA"/>
        </w:rPr>
        <w:t xml:space="preserve"> як основа сучасного політичного процесу. Політичний менеджмент та політичний маркетинг: основні поняття та технології. </w:t>
      </w:r>
    </w:p>
    <w:p w:rsidR="00E30240" w:rsidRDefault="00E30240" w:rsidP="00E30240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Цільові аудиторії </w:t>
      </w:r>
      <w:r>
        <w:rPr>
          <w:lang w:val="uk-UA"/>
        </w:rPr>
        <w:t xml:space="preserve"> рекламних та ПР-звернень у політичній комунікації.</w:t>
      </w:r>
    </w:p>
    <w:p w:rsidR="00E30240" w:rsidRDefault="00E30240" w:rsidP="00E30240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Планування політичних кампаній.</w:t>
      </w:r>
      <w:r w:rsidRPr="00D57552">
        <w:rPr>
          <w:lang w:val="uk-UA"/>
        </w:rPr>
        <w:t xml:space="preserve"> </w:t>
      </w:r>
      <w:r w:rsidRPr="00F40029">
        <w:rPr>
          <w:lang w:val="uk-UA"/>
        </w:rPr>
        <w:t xml:space="preserve">Електоральні дослідження та аналіз перевиборчої ситуації. </w:t>
      </w:r>
    </w:p>
    <w:p w:rsidR="00E30240" w:rsidRDefault="00E30240" w:rsidP="00E30240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Визначення цілей політичної кампанії та виявлення контактних груп. </w:t>
      </w:r>
    </w:p>
    <w:p w:rsidR="00E30240" w:rsidRDefault="00E30240" w:rsidP="00E30240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Планування виборчої кампанії та оцінка результатів. Іміджеві стратегії у політичних ПР-кампаніях.</w:t>
      </w:r>
    </w:p>
    <w:p w:rsidR="00E30240" w:rsidRPr="0068620F" w:rsidRDefault="00E30240" w:rsidP="00E30240">
      <w:pPr>
        <w:pStyle w:val="a3"/>
        <w:shd w:val="clear" w:color="auto" w:fill="FFFFFF"/>
        <w:spacing w:before="0" w:beforeAutospacing="0"/>
        <w:ind w:left="540" w:firstLine="709"/>
        <w:contextualSpacing/>
        <w:jc w:val="both"/>
        <w:rPr>
          <w:b/>
          <w:i/>
          <w:u w:val="single"/>
          <w:lang w:val="uk-UA"/>
        </w:rPr>
      </w:pPr>
    </w:p>
    <w:p w:rsidR="00E30240" w:rsidRDefault="00E30240" w:rsidP="00E30240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E30240" w:rsidRDefault="00E30240" w:rsidP="00E30240">
      <w:pPr>
        <w:jc w:val="both"/>
        <w:rPr>
          <w:b/>
          <w:i/>
          <w:color w:val="00B050"/>
          <w:u w:val="single"/>
        </w:rPr>
      </w:pPr>
    </w:p>
    <w:p w:rsidR="00E30240" w:rsidRPr="00E30240" w:rsidRDefault="00E30240" w:rsidP="00E30240">
      <w:pPr>
        <w:ind w:left="709"/>
        <w:jc w:val="both"/>
        <w:rPr>
          <w:b/>
          <w:color w:val="0070C0"/>
        </w:rPr>
      </w:pPr>
      <w:proofErr w:type="spellStart"/>
      <w:r w:rsidRPr="00E30240">
        <w:rPr>
          <w:b/>
          <w:color w:val="0070C0"/>
        </w:rPr>
        <w:t>Богуш</w:t>
      </w:r>
      <w:proofErr w:type="spellEnd"/>
      <w:r w:rsidRPr="00E30240">
        <w:rPr>
          <w:b/>
          <w:color w:val="0070C0"/>
        </w:rPr>
        <w:t xml:space="preserve"> Д. 10 секретів політичних кампаній. Київ: Вид-во «Березовська», 2016. 158 с.</w:t>
      </w:r>
    </w:p>
    <w:p w:rsidR="00E30240" w:rsidRPr="00E30240" w:rsidRDefault="00E30240" w:rsidP="00E30240">
      <w:pPr>
        <w:ind w:left="709"/>
        <w:jc w:val="both"/>
        <w:rPr>
          <w:b/>
          <w:i/>
        </w:rPr>
      </w:pPr>
      <w:r w:rsidRPr="00E30240">
        <w:rPr>
          <w:b/>
          <w:i/>
        </w:rPr>
        <w:t>Користуючись зазначеним навчальним посібником:</w:t>
      </w:r>
      <w:bookmarkStart w:id="0" w:name="_GoBack"/>
      <w:bookmarkEnd w:id="0"/>
    </w:p>
    <w:p w:rsidR="00E30240" w:rsidRPr="00E30240" w:rsidRDefault="00E30240" w:rsidP="00E30240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0240">
        <w:rPr>
          <w:rFonts w:ascii="Times New Roman" w:hAnsi="Times New Roman"/>
          <w:b/>
          <w:sz w:val="24"/>
          <w:szCs w:val="24"/>
          <w:lang w:val="uk-UA"/>
        </w:rPr>
        <w:t xml:space="preserve"> Назвіть контрольовані і неконтрольовані засоби масової комунікації у виборчих кампаніях ( С.76-80).</w:t>
      </w:r>
    </w:p>
    <w:p w:rsidR="00E30240" w:rsidRPr="00E30240" w:rsidRDefault="00E30240" w:rsidP="00E30240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0240">
        <w:rPr>
          <w:rFonts w:ascii="Times New Roman" w:hAnsi="Times New Roman"/>
          <w:b/>
          <w:sz w:val="24"/>
          <w:szCs w:val="24"/>
          <w:lang w:val="uk-UA"/>
        </w:rPr>
        <w:t xml:space="preserve">Опишіть організацію зустрічей з виборцями та передвиборчих турів (С. 102-123), відповідаючи на питання: </w:t>
      </w:r>
    </w:p>
    <w:p w:rsidR="00E30240" w:rsidRPr="00E30240" w:rsidRDefault="00E30240" w:rsidP="00E30240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0240">
        <w:rPr>
          <w:rFonts w:ascii="Times New Roman" w:hAnsi="Times New Roman"/>
          <w:b/>
          <w:sz w:val="24"/>
          <w:szCs w:val="24"/>
        </w:rPr>
        <w:t>Які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види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зустрічей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кандидата з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виборцями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>?</w:t>
      </w:r>
    </w:p>
    <w:p w:rsidR="00E30240" w:rsidRPr="00E30240" w:rsidRDefault="00E30240" w:rsidP="00E30240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Що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таке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кампанія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дверей до дверей»? </w:t>
      </w:r>
    </w:p>
    <w:p w:rsidR="00E30240" w:rsidRPr="00E30240" w:rsidRDefault="00E30240" w:rsidP="00E30240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Які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необхідні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дії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організації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зустрічі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виборцями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? 4.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Які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можливі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контракції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опонентів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зустрічах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? </w:t>
      </w:r>
    </w:p>
    <w:p w:rsidR="00E30240" w:rsidRPr="00E30240" w:rsidRDefault="00E30240" w:rsidP="00E30240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0240">
        <w:rPr>
          <w:rFonts w:ascii="Times New Roman" w:hAnsi="Times New Roman"/>
          <w:b/>
          <w:sz w:val="24"/>
          <w:szCs w:val="24"/>
        </w:rPr>
        <w:t>Що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необхідно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для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проведення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240">
        <w:rPr>
          <w:rFonts w:ascii="Times New Roman" w:hAnsi="Times New Roman"/>
          <w:b/>
          <w:sz w:val="24"/>
          <w:szCs w:val="24"/>
        </w:rPr>
        <w:t>передвиборного</w:t>
      </w:r>
      <w:proofErr w:type="spellEnd"/>
      <w:r w:rsidRPr="00E30240">
        <w:rPr>
          <w:rFonts w:ascii="Times New Roman" w:hAnsi="Times New Roman"/>
          <w:b/>
          <w:sz w:val="24"/>
          <w:szCs w:val="24"/>
        </w:rPr>
        <w:t xml:space="preserve"> туру? </w:t>
      </w:r>
    </w:p>
    <w:p w:rsidR="00E30240" w:rsidRDefault="00E30240" w:rsidP="00E30240">
      <w:pPr>
        <w:ind w:left="709"/>
        <w:jc w:val="both"/>
        <w:rPr>
          <w:b/>
          <w:i/>
          <w:u w:val="single"/>
        </w:rPr>
      </w:pPr>
      <w:r w:rsidRPr="00E30240">
        <w:rPr>
          <w:b/>
        </w:rPr>
        <w:t>Які три основні засоби організації покриття території за допомогою передвиборчого туру?</w:t>
      </w:r>
      <w:r w:rsidRPr="00FA2D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0240" w:rsidRPr="00C94736" w:rsidRDefault="00E30240" w:rsidP="00E30240">
      <w:pPr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</w:p>
    <w:p w:rsidR="00E30240" w:rsidRPr="00C94736" w:rsidRDefault="00E30240" w:rsidP="00E30240">
      <w:pPr>
        <w:jc w:val="both"/>
      </w:pPr>
    </w:p>
    <w:p w:rsidR="00E30240" w:rsidRPr="00C94736" w:rsidRDefault="00E30240" w:rsidP="00E30240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E30240" w:rsidRPr="00C94736" w:rsidRDefault="00E30240" w:rsidP="00E3024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E30240" w:rsidRPr="00C94736" w:rsidRDefault="00E30240" w:rsidP="00E302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E30240" w:rsidRPr="00C94736" w:rsidRDefault="00E30240" w:rsidP="00E30240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E30240" w:rsidRPr="00C94736" w:rsidRDefault="00E30240" w:rsidP="00E30240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5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E30240" w:rsidRPr="00C94736" w:rsidRDefault="00E30240" w:rsidP="00E30240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lastRenderedPageBreak/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6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7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E30240" w:rsidRPr="00C94736" w:rsidRDefault="00E30240" w:rsidP="00E30240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E30240" w:rsidRPr="00C94736" w:rsidRDefault="00E30240" w:rsidP="00E30240">
      <w:pPr>
        <w:suppressAutoHyphens w:val="0"/>
        <w:rPr>
          <w:b/>
          <w:lang w:eastAsia="ru-RU"/>
        </w:rPr>
      </w:pPr>
    </w:p>
    <w:p w:rsidR="00E30240" w:rsidRPr="00C94736" w:rsidRDefault="00E30240" w:rsidP="00E30240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E30240" w:rsidRPr="00C94736" w:rsidRDefault="00E30240" w:rsidP="00E30240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8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E30240" w:rsidRPr="00C94736" w:rsidRDefault="00E30240" w:rsidP="00E30240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9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E30240" w:rsidRPr="00C94736" w:rsidRDefault="00E30240" w:rsidP="00E30240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0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E30240" w:rsidRPr="00C94736" w:rsidRDefault="00E30240" w:rsidP="00E30240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1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E30240" w:rsidRPr="00C94736" w:rsidRDefault="00E30240" w:rsidP="00E30240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2" w:history="1">
        <w:r w:rsidRPr="00C94736">
          <w:rPr>
            <w:rStyle w:val="a4"/>
          </w:rPr>
          <w:t>http://library.znu.edu.ua/</w:t>
        </w:r>
      </w:hyperlink>
    </w:p>
    <w:p w:rsidR="00E30240" w:rsidRPr="00C94736" w:rsidRDefault="00E30240" w:rsidP="00E30240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lastRenderedPageBreak/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3" w:history="1">
        <w:r w:rsidRPr="00C94736">
          <w:rPr>
            <w:rStyle w:val="a4"/>
          </w:rPr>
          <w:t>http://www.nbuv.gov.ua/</w:t>
        </w:r>
      </w:hyperlink>
    </w:p>
    <w:p w:rsidR="00E30240" w:rsidRPr="00C94736" w:rsidRDefault="00E30240" w:rsidP="00E30240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https://moodle. znu.edu.ua/</w:t>
        </w:r>
      </w:hyperlink>
    </w:p>
    <w:p w:rsidR="00E30240" w:rsidRPr="003E4E87" w:rsidRDefault="00E30240" w:rsidP="00E30240">
      <w:pPr>
        <w:rPr>
          <w:lang w:val="en-US"/>
        </w:rPr>
      </w:pPr>
    </w:p>
    <w:p w:rsidR="00F769DA" w:rsidRPr="00E30240" w:rsidRDefault="00F769DA">
      <w:pPr>
        <w:rPr>
          <w:lang w:val="en-US"/>
        </w:rPr>
      </w:pPr>
    </w:p>
    <w:sectPr w:rsidR="00F769DA" w:rsidRPr="00E3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407B72"/>
    <w:multiLevelType w:val="hybridMultilevel"/>
    <w:tmpl w:val="C2688C00"/>
    <w:lvl w:ilvl="0" w:tplc="F28CA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9305B1"/>
    <w:multiLevelType w:val="hybridMultilevel"/>
    <w:tmpl w:val="24A0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217EC5"/>
    <w:multiLevelType w:val="hybridMultilevel"/>
    <w:tmpl w:val="81EA692C"/>
    <w:lvl w:ilvl="0" w:tplc="7C9CE5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7C1DA8"/>
    <w:multiLevelType w:val="hybridMultilevel"/>
    <w:tmpl w:val="B772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3D"/>
    <w:rsid w:val="009D4D3D"/>
    <w:rsid w:val="00E30240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2E22"/>
  <w15:chartTrackingRefBased/>
  <w15:docId w15:val="{2793248B-EAD2-46A8-934E-370ABE9E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4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2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E30240"/>
    <w:rPr>
      <w:color w:val="0000FF"/>
      <w:u w:val="single"/>
    </w:rPr>
  </w:style>
  <w:style w:type="paragraph" w:customStyle="1" w:styleId="2">
    <w:name w:val="Абзац списка2"/>
    <w:basedOn w:val="a"/>
    <w:rsid w:val="00E30240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E30240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E302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company/reklamnyy-rynok-ukrainy-rastet-dazhe-vo-vremya-krizisa-v-chem-ego-potentsial-13052021-1583" TargetMode="External"/><Relationship Id="rId12" Type="http://schemas.openxmlformats.org/officeDocument/2006/relationships/hyperlink" Target="http://library.znu.edu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style.24tv.ua/ru/den-reklamshhika-2019-ukraine-luchshaja-reklama-za-100-let_n880150" TargetMode="External"/><Relationship Id="rId11" Type="http://schemas.openxmlformats.org/officeDocument/2006/relationships/hyperlink" Target="http://pidruchniki.ws" TargetMode="External"/><Relationship Id="rId5" Type="http://schemas.openxmlformats.org/officeDocument/2006/relationships/hyperlink" Target="https://studfile.net/preview/522944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" TargetMode="External"/><Relationship Id="rId14" Type="http://schemas.openxmlformats.org/officeDocument/2006/relationships/hyperlink" Target="https://moodle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2022-01-19T13:11:00Z</dcterms:created>
  <dcterms:modified xsi:type="dcterms:W3CDTF">2022-01-19T13:13:00Z</dcterms:modified>
</cp:coreProperties>
</file>