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ЗАПОРІЗЬКИЙ НАЦІОНАЛЬНИЙ УНІВЕРСИТЕТ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ФАКУЛЬТЕТ БІОЛОГІЧНИЙ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КАФЕДРА</w:t>
      </w:r>
      <w:r w:rsidDel="00000000" w:rsidR="00000000" w:rsidRPr="00000000">
        <w:rPr>
          <w:sz w:val="24"/>
          <w:szCs w:val="24"/>
          <w:rtl w:val="0"/>
        </w:rPr>
        <w:t xml:space="preserve">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Декан біологічного факультету </w:t>
      </w:r>
    </w:p>
    <w:p w:rsidR="00000000" w:rsidDel="00000000" w:rsidP="00000000" w:rsidRDefault="00000000" w:rsidRPr="00000000" w14:paraId="0000000A">
      <w:pPr>
        <w:ind w:left="54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_______________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Л.О. Омельянчик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(підпис)                            (ініціали та прізвище)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«______»________________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Стандартизація і сертифікація продукції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РОБОЧА ПРОГРАМА НАВЧАЛЬНОЇ ДИСЦИПЛІНИ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підготовки бакалавра</w:t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очної (денної) та заочної (дистанційної) форм здобуття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спеціальності 102 Хімія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708" w:firstLine="708"/>
        <w:jc w:val="center"/>
        <w:rPr/>
      </w:pPr>
      <w:r w:rsidDel="00000000" w:rsidR="00000000" w:rsidRPr="00000000">
        <w:rPr>
          <w:rtl w:val="0"/>
        </w:rPr>
        <w:t xml:space="preserve">освітньо-професійна програма «Хімія»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Укладач:</w:t>
      </w:r>
      <w:r w:rsidDel="00000000" w:rsidR="00000000" w:rsidRPr="00000000">
        <w:rPr>
          <w:sz w:val="24"/>
          <w:szCs w:val="24"/>
          <w:rtl w:val="0"/>
        </w:rPr>
        <w:t xml:space="preserve"> Луганська Ольга Василівна к. х. н., доцент, доцент кафедри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Layout w:type="fixed"/>
        <w:tblLook w:val="0000"/>
      </w:tblPr>
      <w:tblGrid>
        <w:gridCol w:w="4826"/>
        <w:gridCol w:w="4745"/>
        <w:tblGridChange w:id="0">
          <w:tblGrid>
            <w:gridCol w:w="4826"/>
            <w:gridCol w:w="4745"/>
          </w:tblGrid>
        </w:tblGridChange>
      </w:tblGrid>
      <w:tr>
        <w:trPr>
          <w:cantSplit w:val="0"/>
          <w:trHeight w:val="4154.6484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Обговорено та ухвалено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засіданні кафедри 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№__від «___»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 р.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Завідувач кафедри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             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О.А. Бражко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Погоджено 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Гарант освітньо-професійної програми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М.М. Корнет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(підпис)                                    (ініціалі,прізвище)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Ухвалено науково-методичною радою факультету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біологічного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№___від «___»_____2024 р.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Голова науково-методичної ради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факультету 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                  Н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.М. Притула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2024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Опис навчальної дисципліни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2"/>
        <w:gridCol w:w="3266"/>
        <w:gridCol w:w="3472"/>
        <w:tblGridChange w:id="0">
          <w:tblGrid>
            <w:gridCol w:w="2902"/>
            <w:gridCol w:w="3266"/>
            <w:gridCol w:w="3472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Галузь знань,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спеціальність, освітня програма, рівень вищої освіти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Нормативні показники для планування і розподілу дисципліни на змістовому модулі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Характеристика навчальної дисципліни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 (денна) форма здобуття освіти 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Галузь знань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0065"/>
              </w:tabs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10 Природничі науки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                     (шифр і назва)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кредитів –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Обов`язкова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Цикл  професійної підготовки спеціальності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Спеціальність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102 Хімія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                    (шифр і назва)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Загальна кількість годин – 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Семестр: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8 - й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Хімія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                            (назва)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Змістових модулів – 6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Лекції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вищої освіти: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бакалаврський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поточних контрольних заходів - 18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год.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Лабораторні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Самостійна робота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 год.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Вид підсумкового семестрового контролю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екзамен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2.Мета та завдання навчальної дисципліни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6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Мета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викладання навчальної дисципліни «Стандартизація та сертифікація продукції» надати студентам систематизован</w:t>
      </w:r>
      <w:r w:rsidDel="00000000" w:rsidR="00000000" w:rsidRPr="00000000">
        <w:rPr>
          <w:sz w:val="24"/>
          <w:szCs w:val="24"/>
          <w:rtl w:val="0"/>
        </w:rPr>
        <w:t xml:space="preserve">і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узагальнен</w:t>
      </w:r>
      <w:r w:rsidDel="00000000" w:rsidR="00000000" w:rsidRPr="00000000">
        <w:rPr>
          <w:sz w:val="24"/>
          <w:szCs w:val="24"/>
          <w:rtl w:val="0"/>
        </w:rPr>
        <w:t xml:space="preserve">і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знання про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структур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стандартизації та сертифікації України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міжнародної та європейської стандартизації з послідовним зв'язком основних завдань підприємств при їх роботі в даній сфері.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Основними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завданнями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вивчення дисципліни «Стандартизація та сертифікація продукції» є: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ознайомлення з нормативно-правовими актами України у сфері стандартизації і сертифікації продукції;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з’ясування особливостей стандартизації на міжнародному рівні;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вироблення навичок роботи з різними методами та способами контролю якості продукці;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оволодіння навичками розрахунку і прогнозування розробки технічних умов і національних стандартів.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 результаті вивчення навчальної дисципліни здобувач освіти має: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Знати:</w:t>
      </w:r>
    </w:p>
    <w:p w:rsidR="00000000" w:rsidDel="00000000" w:rsidP="00000000" w:rsidRDefault="00000000" w:rsidRPr="00000000" w14:paraId="0000007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основні положення державної системи стандартизації України;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теоретичні основи стандартизації;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основні законодавчі та нормативні акти України зі стандартизації та сертифікації;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основні міжнародні і європейські стандарти та системи стандартизації;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системи сертифікації та акредитація органів із сертифікації продукції і систем якості на виробництві;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структуру органів Державної служби стандартизації та їх функції;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основні тенденції розвитку міжнародної та європейської стандартизації;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порядок акредитації та інспекційного контролю діяльності органів з сертифікації;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порядок здійснення робіт з атестації виробництва;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систему розрахунків під час виконання робіт з сертифікації та акредитації органів в системі сертифікації.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Вміти: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здійснювати пошук і відбір необхідних стандартів;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підготувати необхідні матеріали і документи для розроблення і затвердження державних, галузевих стандартів та стандартів організацій;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організувати роботу по впровадженню стандартів на підприємстві;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провести нормо контроль нескладних видів документації;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подати заявку на сертифікацію та визначити документи і об'єкти підприємства, які необхідно підготувати до проведення певного виду сертифікації;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− розрахувати економічні витрати на проведення робіт із стандартизації і сертифікації та їх ефективність.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Згідно з вимогами освітньо-професійної  програми студенти повинні досягти таких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компетентностей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tbl>
      <w:tblPr>
        <w:tblStyle w:val="Table3"/>
        <w:tblW w:w="9808.0" w:type="dxa"/>
        <w:jc w:val="left"/>
        <w:tblInd w:w="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7"/>
        <w:gridCol w:w="4251"/>
        <w:tblGridChange w:id="0">
          <w:tblGrid>
            <w:gridCol w:w="5557"/>
            <w:gridCol w:w="42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Заплановано робочою програмою результати навчання та компетентності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 і контрольні заходи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0"/>
                <w:tab w:val="left" w:leader="none" w:pos="54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Здатність до абстрактного мислення, аналізу та синтезу (3К 1);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0"/>
                <w:tab w:val="left" w:leader="none" w:pos="54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Здатність вчитися і оволодівати сучасними знаннями (3К 2);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0"/>
                <w:tab w:val="left" w:leader="none" w:pos="54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Навички використовування інформаційних і комунікаційних технологій (3К 5);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0"/>
                <w:tab w:val="left" w:leader="none" w:pos="54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Здатність до пошуку, обробленню та аналізу інформації з різних джерел (3К 10);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0"/>
                <w:tab w:val="left" w:leader="none" w:pos="54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Здатність застосовувати знання і розуміння математичних та природничих наук для вирішення якісних та кількісних проблем хімії (СК 1);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0"/>
                <w:tab w:val="left" w:leader="none" w:pos="54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Здатність розпізнавати і аналізувати проблеми застосовувати обґрунтувані (чи доцільні) методи вирішення проблем, приймати обґрунтувані рішення в області хімії (СК 2);</w:t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0"/>
                <w:tab w:val="left" w:leader="none" w:pos="54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Здатність здійснювати кількісним вимірювання фізико-хімічних величин, описувати, аналізувати і практично оцінювати експериментальні дані (СК 8);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 Здатність до опанування нових областей хімії шляхом самостійного навчання (СК 10);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 Розуміння ключових хімічних понять, основних фактів, концепцій принципів, теорій що стосується природничих наук та наук про життя і землю для забезпечення можливості розуміння спеціальних областей хімії (СК 12);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 Навички в практичному застосуванні теоретичних відомостей (СК 14).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Методи навчання: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Словесний, наочний, дослідницький, пошуковий, проблемний, спостереження.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Контрольні заходи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Поточний контроль: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тестування, виконання завдань лабораторних занять.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Підсумковий контроль: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виконання індивідуального практичного завдання, складання заліку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firstLine="36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Міждисциплінарні зв’язки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Дисципліна «Стандартизація і сертифікація» пов’язана з циклом дисциплін професійної підготовки освітньої програми «Хімія». Знання отримані під час вивчення курсу «Стандартизація і сертифікація продукції» стануть у </w:t>
      </w:r>
      <w:r w:rsidDel="00000000" w:rsidR="00000000" w:rsidRPr="00000000">
        <w:rPr>
          <w:sz w:val="24"/>
          <w:szCs w:val="24"/>
          <w:rtl w:val="0"/>
        </w:rPr>
        <w:t xml:space="preserve">при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годі під час написання курсової роботи за фахом.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Програма навчальної дисципліни</w:t>
      </w:r>
    </w:p>
    <w:p w:rsidR="00000000" w:rsidDel="00000000" w:rsidP="00000000" w:rsidRDefault="00000000" w:rsidRPr="00000000" w14:paraId="000000A2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Змістовий модуль 1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Державна система стандартизації. Законодавчі та нормативні акти України зі стандартизації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Короткі відомості з історії стандартизації. Методологічні основи стандартизації. Закон України Про стандартизацію.</w:t>
      </w:r>
    </w:p>
    <w:p w:rsidR="00000000" w:rsidDel="00000000" w:rsidP="00000000" w:rsidRDefault="00000000" w:rsidRPr="00000000" w14:paraId="000000A4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Змістовий модуль 2 </w:t>
      </w:r>
      <w:r w:rsidDel="00000000" w:rsidR="00000000" w:rsidRPr="00000000">
        <w:rPr>
          <w:i w:val="1"/>
          <w:sz w:val="24"/>
          <w:szCs w:val="24"/>
          <w:rtl w:val="0"/>
        </w:rPr>
        <w:t xml:space="preserve">Основні положення стандартизації в різних сферах діяльності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Регламентація робіт по стандартизації в Україні. Класифікація стандартів. Галузеві стандарти науково-технічних організацій, сфер професійних інтересів. Технічні умови. Стандарти підприємств.</w:t>
      </w:r>
    </w:p>
    <w:p w:rsidR="00000000" w:rsidDel="00000000" w:rsidP="00000000" w:rsidRDefault="00000000" w:rsidRPr="00000000" w14:paraId="000000A6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Змістовий модуль 3 </w:t>
      </w:r>
      <w:r w:rsidDel="00000000" w:rsidR="00000000" w:rsidRPr="00000000">
        <w:rPr>
          <w:i w:val="1"/>
          <w:sz w:val="24"/>
          <w:szCs w:val="24"/>
          <w:rtl w:val="0"/>
        </w:rPr>
        <w:t xml:space="preserve">Міждержавні системи стандартизації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Міждержавна система стандартизації. Загальні положення. Держави, які проголосували за прийняття Міждержавного стандарту ГОСТ 1.0 – 92.</w:t>
      </w:r>
    </w:p>
    <w:p w:rsidR="00000000" w:rsidDel="00000000" w:rsidP="00000000" w:rsidRDefault="00000000" w:rsidRPr="00000000" w14:paraId="000000A8">
      <w:pPr>
        <w:shd w:fill="ffffff" w:val="clear"/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Змістовий модуль 4 </w:t>
      </w:r>
      <w:r w:rsidDel="00000000" w:rsidR="00000000" w:rsidRPr="00000000">
        <w:rPr>
          <w:i w:val="1"/>
          <w:sz w:val="24"/>
          <w:szCs w:val="24"/>
          <w:rtl w:val="0"/>
        </w:rPr>
        <w:t xml:space="preserve">Стандартизація в міжнародних та іноземних країнах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Американський національний інститут стандартів та технологій (NIST) National Institute of Standarts&amp;Technology. Британський інститут стандартів (BSI). Французька асоціація по стандартизації. Германський інститут стандартів. Японський комітет промислових стандартів (JISC).</w:t>
      </w:r>
    </w:p>
    <w:p w:rsidR="00000000" w:rsidDel="00000000" w:rsidP="00000000" w:rsidRDefault="00000000" w:rsidRPr="00000000" w14:paraId="000000AA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Змістовий модуль 5 </w:t>
      </w:r>
      <w:r w:rsidDel="00000000" w:rsidR="00000000" w:rsidRPr="00000000">
        <w:rPr>
          <w:i w:val="1"/>
          <w:sz w:val="24"/>
          <w:szCs w:val="24"/>
          <w:rtl w:val="0"/>
        </w:rPr>
        <w:t xml:space="preserve">Економічна ефективність стандартизації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Поняття про економічну  ефективність стандартизації  Основні показники економічної ефективності  стандартів. Визначення економічної ефективності стандартів. Технічна ефективність  стандартів. Соціальна ефективність стандартизації.</w:t>
      </w:r>
    </w:p>
    <w:p w:rsidR="00000000" w:rsidDel="00000000" w:rsidP="00000000" w:rsidRDefault="00000000" w:rsidRPr="00000000" w14:paraId="000000AC">
      <w:pPr>
        <w:tabs>
          <w:tab w:val="left" w:leader="none" w:pos="284"/>
          <w:tab w:val="left" w:leader="none" w:pos="567"/>
        </w:tabs>
        <w:spacing w:line="360" w:lineRule="auto"/>
        <w:ind w:firstLine="284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Змістовий модуль 6 </w:t>
      </w:r>
      <w:r w:rsidDel="00000000" w:rsidR="00000000" w:rsidRPr="00000000">
        <w:rPr>
          <w:i w:val="1"/>
          <w:sz w:val="24"/>
          <w:szCs w:val="24"/>
          <w:rtl w:val="0"/>
        </w:rPr>
        <w:t xml:space="preserve">Організація робіт із сертифікації в Україні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line="36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Державна система сертифікації в Україні. Організаційна система. Національні органи по сертифікації. Український навчальний центр стандартизації та метрології.</w:t>
      </w:r>
    </w:p>
    <w:p w:rsidR="00000000" w:rsidDel="00000000" w:rsidP="00000000" w:rsidRDefault="00000000" w:rsidRPr="00000000" w14:paraId="000000AE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20" w:lineRule="auto"/>
        <w:ind w:left="3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20" w:lineRule="auto"/>
        <w:ind w:left="357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4. Структура навчальної дисципліни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2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3"/>
        <w:gridCol w:w="767"/>
        <w:gridCol w:w="992"/>
        <w:gridCol w:w="567"/>
        <w:gridCol w:w="567"/>
        <w:gridCol w:w="851"/>
        <w:gridCol w:w="709"/>
        <w:gridCol w:w="567"/>
        <w:gridCol w:w="834"/>
        <w:gridCol w:w="921"/>
        <w:gridCol w:w="999"/>
        <w:gridCol w:w="851"/>
        <w:tblGridChange w:id="0">
          <w:tblGrid>
            <w:gridCol w:w="1643"/>
            <w:gridCol w:w="767"/>
            <w:gridCol w:w="992"/>
            <w:gridCol w:w="567"/>
            <w:gridCol w:w="567"/>
            <w:gridCol w:w="851"/>
            <w:gridCol w:w="709"/>
            <w:gridCol w:w="567"/>
            <w:gridCol w:w="834"/>
            <w:gridCol w:w="921"/>
            <w:gridCol w:w="999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Змістовий модуль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Аудиторні (контактні) години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Самостійна робота, год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Система накопичення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Лекційні 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заняття, год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Лабораторні заняття, год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Теор.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Лаб.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о/дф.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о/дф.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313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4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за змістові модулі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rHeight w:val="1544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Підсумковий семестровий контроль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– 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Загалом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6C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Теми лекційних занять</w:t>
      </w:r>
    </w:p>
    <w:tbl>
      <w:tblPr>
        <w:tblStyle w:val="Table5"/>
        <w:tblW w:w="100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7"/>
        <w:gridCol w:w="7040"/>
        <w:gridCol w:w="1389"/>
        <w:tblGridChange w:id="0">
          <w:tblGrid>
            <w:gridCol w:w="1597"/>
            <w:gridCol w:w="7040"/>
            <w:gridCol w:w="1389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змістового модуля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 теми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</w:t>
            </w:r>
          </w:p>
          <w:p w:rsidR="00000000" w:rsidDel="00000000" w:rsidP="00000000" w:rsidRDefault="00000000" w:rsidRPr="00000000" w14:paraId="000001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Державна система стандартизації. Законодавча та нормативні акти України зі стандартизації.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Основні положення стандартизації в різних сферах діяльності.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Міждержавні системи стандартизації.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Стандартизація в міжнародних та іноземних країнах.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Економічна ефективність стандартизації.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Організація робіт із сертифікації в Україні.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Разом: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 w14:paraId="0000018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19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Теми лабораторних занять</w:t>
      </w:r>
    </w:p>
    <w:tbl>
      <w:tblPr>
        <w:tblStyle w:val="Table6"/>
        <w:tblW w:w="10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0"/>
        <w:gridCol w:w="7239"/>
        <w:gridCol w:w="1326"/>
        <w:tblGridChange w:id="0">
          <w:tblGrid>
            <w:gridCol w:w="1480"/>
            <w:gridCol w:w="7239"/>
            <w:gridCol w:w="132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змістового модуля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 теми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о/д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Вивчення стандартів із оформленням нормативних документів.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Організація стандартизації в Україні.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Методологічні основи стандартизації. Система стандартизації, рівні стандартизації.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Порядок робіт із сертифікації. Сутність сертифікації виробництва. Розрахунки економічної ефективності стандартизації.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Вивчення засобів і методів правових основ, форм і схем сертифікації продукції.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Категорії стандартів. Порядок видачі сертифікату відповідності та знаку відповідності. Вивчення міжнародних стандартів. Держспоживстандарт і стандарти ISO. Обов’язкова і добровільна сертифікація.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Разом: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 w14:paraId="000001AF">
      <w:pPr>
        <w:rPr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even"/>
          <w:pgSz w:h="16838" w:w="11906" w:orient="portrait"/>
          <w:pgMar w:bottom="993" w:top="1134" w:left="1134" w:right="851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Види і зміст поточних контрольних заходів</w:t>
      </w:r>
    </w:p>
    <w:tbl>
      <w:tblPr>
        <w:tblStyle w:val="Table7"/>
        <w:tblW w:w="14841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2"/>
        <w:gridCol w:w="2999"/>
        <w:gridCol w:w="4511"/>
        <w:gridCol w:w="4649"/>
        <w:gridCol w:w="951"/>
        <w:tblGridChange w:id="0">
          <w:tblGrid>
            <w:gridCol w:w="1732"/>
            <w:gridCol w:w="2999"/>
            <w:gridCol w:w="4511"/>
            <w:gridCol w:w="4649"/>
            <w:gridCol w:w="9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змістового модуля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**Критерії оцінювання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Лабораторне заняття №1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Назвіть основні факти прояву процесу стандартизації до н.е.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Наведіть приклади стандартизації з початком розвитку промисловості 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Європі з XVIII ст. 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Назвіть основні причини, що надали стимулу для розвитку стандарти-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зації в світі. 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Коли почався розвиток процесу стандартизації в Україні?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 якому році набув чинності Закон України «Про стандартизацію»?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Сформулюйте його основні статті. 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Яке значення мав Закон для формування системи стандартизації 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Україні?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1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1D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1D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1D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26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 робота № 1. </w:t>
            </w:r>
          </w:p>
          <w:p w:rsidR="00000000" w:rsidDel="00000000" w:rsidP="00000000" w:rsidRDefault="00000000" w:rsidRPr="00000000" w14:paraId="000001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лабораторнго заняття, </w:t>
            </w:r>
          </w:p>
          <w:p w:rsidR="00000000" w:rsidDel="00000000" w:rsidP="00000000" w:rsidRDefault="00000000" w:rsidRPr="00000000" w14:paraId="000001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1E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1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1E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1 КЗ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Лабораторне заняття №2</w:t>
            </w:r>
          </w:p>
          <w:p w:rsidR="00000000" w:rsidDel="00000000" w:rsidP="00000000" w:rsidRDefault="00000000" w:rsidRPr="00000000" w14:paraId="0000020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Яким чином процес стандартизації впливає на розвиток науково- технічного прогресу? 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Поняття стандартизації, її мета й основні напрямки. 3. Що таке стандарт?</w:t>
              <w:br w:type="textWrapping"/>
              <w:t xml:space="preserve">4. Що таке Державна система стандартизації? 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Основні принципи стандартизації. 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6. Які методи стандартизації існують?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0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 робота № 2. </w:t>
            </w:r>
          </w:p>
          <w:p w:rsidR="00000000" w:rsidDel="00000000" w:rsidP="00000000" w:rsidRDefault="00000000" w:rsidRPr="00000000" w14:paraId="000002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1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Усього за ЗМ 2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Лабораторне заняття №3</w:t>
            </w:r>
          </w:p>
          <w:p w:rsidR="00000000" w:rsidDel="00000000" w:rsidP="00000000" w:rsidRDefault="00000000" w:rsidRPr="00000000" w14:paraId="000002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 якою метою розробляються кодекси усталеної практики?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Який НД регулює відносини між виробником (постачальником) і спожива-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чем (користувачем)? </w:t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 основі якого консенсусу розробляється стандарт?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Охарактеризуйте види стандартів в залежності від специфіки об’єкта стан-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дартизації. 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Назвіть категорії стандартів в залежності від рівня суб’єкта стандартизації.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4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 робота № 3. </w:t>
            </w:r>
          </w:p>
          <w:p w:rsidR="00000000" w:rsidDel="00000000" w:rsidP="00000000" w:rsidRDefault="00000000" w:rsidRPr="00000000" w14:paraId="000002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5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3 КЗ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Лабораторне заняття №4</w:t>
            </w:r>
          </w:p>
          <w:p w:rsidR="00000000" w:rsidDel="00000000" w:rsidP="00000000" w:rsidRDefault="00000000" w:rsidRPr="00000000" w14:paraId="000002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Назвіть основні функції Центрального органу виконавчої влади у сфері стандартизації.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 яких структурних елементів складається Національна система стандарти- зації України?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Що називають суб’єктами стандартизації, на яких рівнях вони організу- ються?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Яка роль Ради стандартизації та технічних комітетів із стандартизації?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Хто здійснює інформаційне забезпечення діяльності органів стандартизації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всіх країн? </w:t>
            </w:r>
          </w:p>
          <w:p w:rsidR="00000000" w:rsidDel="00000000" w:rsidP="00000000" w:rsidRDefault="00000000" w:rsidRPr="00000000" w14:paraId="000002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7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7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 робота № 4. </w:t>
            </w:r>
          </w:p>
          <w:p w:rsidR="00000000" w:rsidDel="00000000" w:rsidP="00000000" w:rsidRDefault="00000000" w:rsidRPr="00000000" w14:paraId="0000027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8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8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4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Лабораторне заняття №5</w:t>
            </w:r>
          </w:p>
          <w:p w:rsidR="00000000" w:rsidDel="00000000" w:rsidP="00000000" w:rsidRDefault="00000000" w:rsidRPr="00000000" w14:paraId="0000029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Хто готує програму робіт зі стандартизації, до якої включаються роботи з розроблення, перегляду, внесення змін до національних стандартів?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 якою метою і на якій основі складають програму робіт із стандартизації?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Перелічіть загальні принципи розроблення та застосування стандартів.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 часто перевіряються національні стандарти на продукцію?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Розкрийте зміст кожного етапу робіт щодо перегляду, внесення змін чи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скасування національного стандарту. </w:t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 чому полягає державний нагляд за впровадженням і додержанням стан-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дартів?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A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 робота № 5. </w:t>
            </w:r>
          </w:p>
          <w:p w:rsidR="00000000" w:rsidDel="00000000" w:rsidP="00000000" w:rsidRDefault="00000000" w:rsidRPr="00000000" w14:paraId="000002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A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B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5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Лабораторне заняття №6</w:t>
            </w:r>
          </w:p>
          <w:p w:rsidR="00000000" w:rsidDel="00000000" w:rsidP="00000000" w:rsidRDefault="00000000" w:rsidRPr="00000000" w14:paraId="000002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Теоретична частина</w:t>
            </w:r>
          </w:p>
          <w:p w:rsidR="00000000" w:rsidDel="00000000" w:rsidP="00000000" w:rsidRDefault="00000000" w:rsidRPr="00000000" w14:paraId="000002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Питання і завдання для виконання: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У чому полягає необхідність створення параметричних стандартів? 2. З якою метою розроблені ряди переважних чисел?</w:t>
              <w:br w:type="textWrapping"/>
              <w:t xml:space="preserve">3. Перелічіть основні властивості переважних чисел.</w:t>
              <w:br w:type="textWrapping"/>
              <w:t xml:space="preserve">4. Що являють собою ряди переважних чисел? 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Що є основним критерієм при визначенні градації параметричного ряду та при розробленні параметричного стандарту. 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Дайте визначення поняттям "параметр", "параметричний ряд", "параметричний стандарт".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 – 3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2,5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C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 – 2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C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1,5 бал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отримає за відповідь менше ніж на 50% запитань, у відповіді наявні значні неточності.</w:t>
            </w:r>
          </w:p>
          <w:p w:rsidR="00000000" w:rsidDel="00000000" w:rsidP="00000000" w:rsidRDefault="00000000" w:rsidRPr="00000000" w14:paraId="000002C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0,5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освіти отримає за відповідь менше ніж 30%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 робота № 6. </w:t>
            </w:r>
          </w:p>
          <w:p w:rsidR="00000000" w:rsidDel="00000000" w:rsidP="00000000" w:rsidRDefault="00000000" w:rsidRPr="00000000" w14:paraId="000002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Письмове розв'язування розрахункових завдань і задач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– 4 бали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C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– 3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– 2 бали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1 бал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Тестовий контроль 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Вибіркові тести з однією правильною відповіддю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– 3 бали</w:t>
            </w:r>
          </w:p>
          <w:p w:rsidR="00000000" w:rsidDel="00000000" w:rsidP="00000000" w:rsidRDefault="00000000" w:rsidRPr="00000000" w14:paraId="000002D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6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за ЗМ 1-6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контр.заходів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2E0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1fob9te" w:id="1"/>
    <w:bookmarkEnd w:id="1"/>
    <w:p w:rsidR="00000000" w:rsidDel="00000000" w:rsidP="00000000" w:rsidRDefault="00000000" w:rsidRPr="00000000" w14:paraId="000002E2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Підсумковий семестровий контроль***</w:t>
      </w:r>
    </w:p>
    <w:tbl>
      <w:tblPr>
        <w:tblStyle w:val="Table8"/>
        <w:tblW w:w="147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1984"/>
        <w:gridCol w:w="5103"/>
        <w:gridCol w:w="5074"/>
        <w:gridCol w:w="1021"/>
        <w:tblGridChange w:id="0">
          <w:tblGrid>
            <w:gridCol w:w="1548"/>
            <w:gridCol w:w="1984"/>
            <w:gridCol w:w="5103"/>
            <w:gridCol w:w="5074"/>
            <w:gridCol w:w="1021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 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Види підсумкових контрольних заходів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 підсумкового контрольного заходу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Критерії оцінювання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балів</w:t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F">
            <w:pPr>
              <w:ind w:left="113" w:right="113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 w14:paraId="000002F0">
            <w:pPr>
              <w:ind w:firstLine="3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Індивідуальні дослідницькі завдання повинні містити аналіз сучасного стану обраного питання. Виконується у вигляді доповіді і презентації. Обсяг доповіді ІДЗ повинен бути розрахований на 7-10 хв. Доповідь повинна складатись зі вступу, в якому висвітлена актуальність, мета дослідження, завдання, об'єкт та предмет (1-2 хв.) повне висвітлення питань, висновки та додається список використаних джерел. Презентація ІДЗ повинна містити таблиці, графіки та рисунки та складатись з 15-20 слайдів.</w:t>
            </w:r>
          </w:p>
          <w:p w:rsidR="00000000" w:rsidDel="00000000" w:rsidP="00000000" w:rsidRDefault="00000000" w:rsidRPr="00000000" w14:paraId="000002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ІДЗ повинно бути виконано протягом семестру та представлено до захисту до початку залікового тижня. </w:t>
            </w:r>
          </w:p>
          <w:p w:rsidR="00000000" w:rsidDel="00000000" w:rsidP="00000000" w:rsidRDefault="00000000" w:rsidRPr="00000000" w14:paraId="000002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Питання для виконання ІДЗ обираються відповідно до номера прізвища студента у журналі академічної групи.</w:t>
            </w:r>
          </w:p>
          <w:p w:rsidR="00000000" w:rsidDel="00000000" w:rsidP="00000000" w:rsidRDefault="00000000" w:rsidRPr="00000000" w14:paraId="000002F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Орієнтовані питання для виконання завдання викладено на сторінці СЕЗН ЗНУ на платформі Moodle.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19-20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самостійно виконали понад 90% завдань під час виконання роботи виявили усебічні, систематичні та глибокі знання програмного матеріалу з дисципліни, уміння ставити мету і формулювати завдання досліджень; творчі здібності у розумінні та використанні програмного матеріалу для виконання поставлених мети і завдань; чітко, логічно, послідовно викладати матеріал; робити обґрунтовані висновки. Під час захисту індивідуального задання надавали вичерпні, аргументовані та цілісні відповіді на всі запитання.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2F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17-18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виконали не менше 90% завдань, завдання роботи виконані достатньо грамотно, але є декілька (1-3) несуттєвих помилок. Під час виконання роботи здобувачі вищої освіти виявили знання і розуміння програмного матеріалу з дисципліни у повному обсязі, уміння ставити мету і формулювати завдання досліджень; творчій підхід до виконання поставлених мети і завдань; логічно, послідовно викладати матеріал; роботи  обґрунтовані висновки. Під час захисту індивідуального завдання загалом надавати аргументовані, без суттєвих помилок, відповіді на всі запитання. У цілому робота оформлена акуратно, але наявні незначні неточності в її оформленні та презентації.</w:t>
            </w:r>
          </w:p>
          <w:p w:rsidR="00000000" w:rsidDel="00000000" w:rsidP="00000000" w:rsidRDefault="00000000" w:rsidRPr="00000000" w14:paraId="000002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15-16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виконали не менше 80% завдань, завдання роботи виконані достатньо грамотно, але є декілька (до 5) несуттєвих помилок. Під час виконання роботи здобувачі освіти виявили знання і розуміння програмного матеріалу з дисципліни з основних розділів, уміння ставити мету і формулювати завдання досліджень; логічно, послідовно викладати матеріал; робити висновки. Під час захисту індивідуального завдання відповідали достатньо грамотно, але припускались однієї-двох непринципових помилок. Робота оформлена акуратно, але наявні незначні неточності в її оформленні. </w:t>
            </w:r>
          </w:p>
          <w:p w:rsidR="00000000" w:rsidDel="00000000" w:rsidP="00000000" w:rsidRDefault="00000000" w:rsidRPr="00000000" w14:paraId="000002F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13-14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виконали завдання не в повному обсязі, але не менше 70%.  Під час виконання роботи виявили знання й розуміння основних положень дисципліни; завдання виконали неповно, непослідовно; наявні неточності та помилки у змісті та оформленні роботи. Здобувачі освіти виявляють знання й розуміння основних положень матеріалу, але надають неповні, непослідовні відповіді. Під час захисту індивідуального завдання демонстрували недостатньо глибокі знання з досліджуваної теми,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2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10-12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виконали завдання не в повному обсязі, але не менше ніж на 60%; у роботі присутні принципові помилки в оформленні. Під час виконання роботи виявили знання й розуміння основних положень матеріалу з дисципліни. Під час захисту та підготовки презентації продемонстрували поверхневі знання з досліджуваної теми,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2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0-9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здобувачі освіти виконали понад 50% завдань. Під час виконання роботи припускались принципових помилок при розв’язанні завдань. Робота оформлена зі значним порушенням вимог. Необхідна досконала переробка роботи. Під час захисту 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 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2F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Екзаменаційне випробування в усній формі за білетами (проводиться під час сесії)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Екзаменаційне випробування в усній формі за білетами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(20 балів)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що включають 3 питання: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1-е і 2-е питання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теоретичні з дисципліни «Стандартизація і сертифікація»,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3-е питання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перевірка практичних умінь застосування знань.</w:t>
            </w:r>
          </w:p>
          <w:p w:rsidR="00000000" w:rsidDel="00000000" w:rsidP="00000000" w:rsidRDefault="00000000" w:rsidRPr="00000000" w14:paraId="000002F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19-20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балів здобувачі освіти дали розгорнуті відповіді на запитання екзаменаційного білету білету; виявили усебічні, систематичні та глибокі знання програмного матеріалу з дисципліни.</w:t>
            </w:r>
          </w:p>
          <w:p w:rsidR="00000000" w:rsidDel="00000000" w:rsidP="00000000" w:rsidRDefault="00000000" w:rsidRPr="00000000" w14:paraId="0000030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17-18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здобувачі освіти відповіли на всі поставлені запитання, але є декілька несуттєвих помилок;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15-16 балів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 здобувачі освіти відповіли на всі поставлені запитання, але наявні декілька несуттєвих помилок або неточностей;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13-14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відповіли на всі поставленні запитання білету, виявили знання основних положень навчального матеріалу,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10-12 балів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здобувачі освіти відповіли на запитання екзаменаційного білету в не повному обсязі;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0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0-9 балів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за підсумковий семестровий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30C">
      <w:pPr>
        <w:jc w:val="center"/>
        <w:rPr>
          <w:b w:val="1"/>
          <w:sz w:val="24"/>
          <w:szCs w:val="24"/>
          <w:highlight w:val="yellow"/>
        </w:rPr>
        <w:sectPr>
          <w:type w:val="nextPage"/>
          <w:pgSz w:h="11906" w:w="16838" w:orient="landscape"/>
          <w:pgMar w:bottom="851" w:top="1134" w:left="993" w:right="1134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hd w:fill="ffffff" w:val="clear"/>
        <w:spacing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Рекомендована література</w:t>
      </w:r>
    </w:p>
    <w:p w:rsidR="00000000" w:rsidDel="00000000" w:rsidP="00000000" w:rsidRDefault="00000000" w:rsidRPr="00000000" w14:paraId="0000030E">
      <w:pPr>
        <w:shd w:fill="ffffff" w:val="clear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Основна:</w:t>
      </w:r>
    </w:p>
    <w:p w:rsidR="00000000" w:rsidDel="00000000" w:rsidP="00000000" w:rsidRDefault="00000000" w:rsidRPr="00000000" w14:paraId="000003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Зрезарцем М.П. Товарознавство непродовольчих товарів : навчальний посібник. Київ : Центр учбової літератури, 2019. 328 c.</w:t>
      </w:r>
    </w:p>
    <w:p w:rsidR="00000000" w:rsidDel="00000000" w:rsidP="00000000" w:rsidRDefault="00000000" w:rsidRPr="00000000" w14:paraId="000003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Архіпов В.В. Судово-товарознавча експертиза товарів народного споживання та послуг : теорія та практика. 3-тє вид. : Навч.-практ. посібник.  Київ : Центр учбової літератури, 2021. 306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Кропівна А. В., Бондаренко Г. С., Кропівний В. М. Стандартизація : Навчальний посібник.  Кропивницький; ЦНТУ, 2021.  307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Додаткова </w:t>
      </w:r>
    </w:p>
    <w:p w:rsidR="00000000" w:rsidDel="00000000" w:rsidP="00000000" w:rsidRDefault="00000000" w:rsidRPr="00000000" w14:paraId="0000031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Калинич І.В., Пічкар Л.І. Основи стандартизації, сертифікації і метрології : Курс лекцій :  Ужгород : ПГФК ДВНЗ «УжНУ», 2022.  75с.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Стринадко М.Т. Конспект лекцій з навчальної дисципліни: Метрологія та стандартизація. Чернівці : Чернівецький національний. Університет імені Юрія Федьковича, 2022.  275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Жихарєв В.М., Павлишин Р.Є. Основи метрології та стандартизації. Цикл лекційних і практичних занять. Навчально-методичний посібник.  Ужгород : ТОВ “РІК-У“, 2020.  280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Троснікова І.Ю., Мініцький А.В., Биба Є.Г., Лобода П.І.  Стандартизація, метрологія та контроль якості продукції: навчальний посібник для студентів спеціальності 132 “Матеріалознавство”. Київ: КПІ ім.Ігоря Сікорського, 2021.  89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Стойко І.І. Стандартизація, сертифікація, метрологія. Навч.-метод. посібник.  Тернопіль : ТНТУ імені Івана Пулюя. 2020.  210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34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Петровська Мирослава. Метрологія, стандартизація, сертифікація та акредитація : навчальний посібник.  Львів : ЛНУ імені Івана Франка, 2020. 408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hd w:fill="ffffff" w:val="clear"/>
        <w:tabs>
          <w:tab w:val="left" w:leader="none" w:pos="365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Інформаційні резурси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Стандартизація і сертифікація продукції : електронний курс СЕЗН ЗНУ URL: https://moodle.znu.edu.ua/course/view.php?id=1899</w:t>
      </w:r>
    </w:p>
    <w:p w:rsidR="00000000" w:rsidDel="00000000" w:rsidP="00000000" w:rsidRDefault="00000000" w:rsidRPr="00000000" w14:paraId="000003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Український науково – дослідний центр проблем стандартизації, сертифікації та якості URL: </w:t>
      </w:r>
      <w:hyperlink r:id="rId11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http://www.ukrndnc.org.ua/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3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Декрет КАБІНЕТУ МІНІСТРІВ УКРАЇНИ </w:t>
      </w:r>
      <w:bookmarkStart w:colFirst="0" w:colLast="0" w:name="bookmark=id.2et92p0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Про стандартизацію і сертифікацію URL: </w:t>
      </w:r>
      <w:hyperlink r:id="rId12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http://zakon3.rada.gov.ua/laws/show/46-93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3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0"/>
        <w:jc w:val="both"/>
        <w:rPr>
          <w:color w:val="000000"/>
          <w:sz w:val="24"/>
          <w:szCs w:val="24"/>
        </w:rPr>
        <w:sectPr>
          <w:type w:val="nextPage"/>
          <w:pgSz w:h="16838" w:w="11906" w:orient="portrait"/>
          <w:pgMar w:bottom="993" w:top="1134" w:left="1134" w:right="851" w:header="709" w:footer="709"/>
          <w:pgNumType w:start="1"/>
          <w:titlePg w:val="1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Основи стандартизації та оцінки відповідності : електронний навчальний посібник у схемах і таблицях  URL: </w:t>
      </w:r>
      <w:hyperlink r:id="rId13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https://dspace.khadi.kharkov.ua/dspace/bitstream/123456789/2532/3/Bykreeva_Rybalko_osnovy_stand_2019.pdf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hd w:fill="ffffff" w:val="clear"/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134" w:left="993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ukrndnc.org.ua/" TargetMode="External"/><Relationship Id="rId10" Type="http://schemas.openxmlformats.org/officeDocument/2006/relationships/footer" Target="footer1.xml"/><Relationship Id="rId13" Type="http://schemas.openxmlformats.org/officeDocument/2006/relationships/hyperlink" Target="https://dspace.khadi.kharkov.ua/dspace/bitstream/123456789/2532/3/Bykreeva_Rybalko_osnovy_stand_2019.pdf" TargetMode="External"/><Relationship Id="rId12" Type="http://schemas.openxmlformats.org/officeDocument/2006/relationships/hyperlink" Target="http://zakon3.rada.gov.ua/laws/show/46-9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qqjd6cW4RggYrEmdtif1kQAp4g==">CgMxLjAyCmlkLjMwajB6bGwyCmlkLjFmb2I5dGUyCWguM3pueXNoNzIKaWQuMmV0OTJwMDgAciExQmF6WEk2eWo0STFGQkhaQU56aXdOeHJvSEoyZENYUnc=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