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B198" w14:textId="77777777" w:rsidR="00481DBC" w:rsidRDefault="00540C8C">
      <w:r>
        <w:rPr>
          <w:noProof/>
          <w:lang w:eastAsia="ru-RU"/>
        </w:rPr>
        <w:pict w14:anchorId="43FC231B">
          <v:roundrect id="_x0000_s1062" style="position:absolute;margin-left:-73.1pt;margin-top:46.45pt;width:122.8pt;height:247.85pt;rotation:-1217314fd;z-index:251676672" arcsize="10923f">
            <v:textbox>
              <w:txbxContent>
                <w:p w14:paraId="79115289" w14:textId="77777777" w:rsidR="00EC010E" w:rsidRPr="00EC010E" w:rsidRDefault="00EC010E" w:rsidP="00EC010E">
                  <w:pPr>
                    <w:shd w:val="clear" w:color="auto" w:fill="FFFFFF"/>
                    <w:spacing w:before="120" w:after="120" w:line="240" w:lineRule="auto"/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val="uk-UA" w:eastAsia="ru-RU"/>
                    </w:rPr>
                  </w:pPr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Тип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вищої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нервової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діяльності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 —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це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сукупність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основних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властивостей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вищих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відділів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центральної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нервової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системи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val="uk-UA" w:eastAsia="ru-RU"/>
                    </w:rPr>
                    <w:t>характеризують вроджені індивідуальні особливості вищої нервової діяльності людини і тварин. Розрізняють ;</w:t>
                  </w:r>
                </w:p>
                <w:p w14:paraId="28983ABF" w14:textId="77777777" w:rsidR="00EC010E" w:rsidRPr="00EC010E" w:rsidRDefault="00EC010E" w:rsidP="00EC010E">
                  <w:pPr>
                    <w:pStyle w:val="a3"/>
                    <w:numPr>
                      <w:ilvl w:val="0"/>
                      <w:numId w:val="6"/>
                    </w:numPr>
                    <w:shd w:val="clear" w:color="auto" w:fill="FFFFFF"/>
                    <w:spacing w:before="120" w:after="120" w:line="240" w:lineRule="auto"/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Жвавий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7312774B" w14:textId="77777777" w:rsidR="00EC010E" w:rsidRPr="00EC010E" w:rsidRDefault="00EC010E" w:rsidP="00EC010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спокійний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26776425" w14:textId="77777777" w:rsidR="00EC010E" w:rsidRPr="00EC010E" w:rsidRDefault="00EC010E" w:rsidP="00EC010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нестерпний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4D49A87F" w14:textId="77777777" w:rsidR="00EC010E" w:rsidRPr="00EC010E" w:rsidRDefault="00EC010E" w:rsidP="00EC010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24" w:line="240" w:lineRule="auto"/>
                    <w:ind w:left="384"/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слабкий</w:t>
                  </w:r>
                  <w:proofErr w:type="spellEnd"/>
                  <w:r w:rsidRPr="00EC010E">
                    <w:rPr>
                      <w:rFonts w:ascii="Arial" w:eastAsia="Times New Roman" w:hAnsi="Arial" w:cs="Arial"/>
                      <w:color w:val="202122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1DD1EDCD" w14:textId="77777777" w:rsidR="00EC010E" w:rsidRDefault="00EC010E"/>
              </w:txbxContent>
            </v:textbox>
          </v:roundrect>
        </w:pict>
      </w:r>
      <w:r>
        <w:rPr>
          <w:noProof/>
          <w:lang w:eastAsia="ru-RU"/>
        </w:rPr>
        <w:pict w14:anchorId="3ADBABA2">
          <v:roundrect id="_x0000_s1061" style="position:absolute;margin-left:-57pt;margin-top:430.95pt;width:138.65pt;height:202pt;rotation:778822fd;z-index:251675648" arcsize="10923f">
            <v:textbox>
              <w:txbxContent>
                <w:p w14:paraId="24EFEC97" w14:textId="77777777" w:rsidR="00527533" w:rsidRPr="00527533" w:rsidRDefault="00527533" w:rsidP="00EC010E">
                  <w:pPr>
                    <w:jc w:val="center"/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lang w:val="uk-UA"/>
                    </w:rPr>
                  </w:pP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Методологічною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основою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досліджень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педагогічній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ергономіці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є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системний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підхід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і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комплексність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.</w:t>
                  </w:r>
                </w:p>
                <w:p w14:paraId="235417D3" w14:textId="77777777" w:rsidR="00527533" w:rsidRPr="00527533" w:rsidRDefault="00527533" w:rsidP="00EC010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EC010E">
                    <w:rPr>
                      <w:rStyle w:val="a4"/>
                      <w:rFonts w:ascii="Times New Roman" w:hAnsi="Times New Roman" w:cs="Times New Roman"/>
                      <w:b w:val="0"/>
                      <w:iCs/>
                      <w:color w:val="222222"/>
                      <w:sz w:val="20"/>
                      <w:szCs w:val="20"/>
                    </w:rPr>
                    <w:t>Системний</w:t>
                  </w:r>
                  <w:proofErr w:type="spellEnd"/>
                  <w:r w:rsidRPr="00EC010E">
                    <w:rPr>
                      <w:rStyle w:val="a4"/>
                      <w:rFonts w:ascii="Times New Roman" w:hAnsi="Times New Roman" w:cs="Times New Roman"/>
                      <w:b w:val="0"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010E">
                    <w:rPr>
                      <w:rStyle w:val="a4"/>
                      <w:rFonts w:ascii="Times New Roman" w:hAnsi="Times New Roman" w:cs="Times New Roman"/>
                      <w:b w:val="0"/>
                      <w:iCs/>
                      <w:color w:val="222222"/>
                      <w:sz w:val="20"/>
                      <w:szCs w:val="20"/>
                    </w:rPr>
                    <w:t>підхід</w:t>
                  </w:r>
                  <w:proofErr w:type="spellEnd"/>
                  <w:r w:rsidRPr="00527533">
                    <w:rPr>
                      <w:rStyle w:val="a4"/>
                      <w:rFonts w:ascii="Times New Roman" w:hAnsi="Times New Roman" w:cs="Times New Roman"/>
                      <w:b w:val="0"/>
                      <w:i/>
                      <w:iCs/>
                      <w:color w:val="222222"/>
                      <w:sz w:val="20"/>
                      <w:szCs w:val="20"/>
                    </w:rPr>
                    <w:t> 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передбачає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що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предметом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аналізу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є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численні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чинники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які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зумовлюють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характер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взаємодій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у системах</w:t>
                  </w:r>
                  <w:proofErr w:type="gram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"учитель,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учень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засоби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навчання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середовище</w:t>
                  </w:r>
                  <w:proofErr w:type="spellEnd"/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"</w:t>
                  </w:r>
                  <w:r w:rsidRPr="00527533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lang w:val="uk-UA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1854441D">
          <v:roundrect id="_x0000_s1047" style="position:absolute;margin-left:-11.1pt;margin-top:279.8pt;width:125.25pt;height:63.75pt;z-index:251662336" arcsize="10923f">
            <v:textbox>
              <w:txbxContent>
                <w:p w14:paraId="0ED07DAF" w14:textId="77777777" w:rsidR="004D2707" w:rsidRPr="004D2707" w:rsidRDefault="004D2707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</w:pP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>Основні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 типи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>вищої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>нервової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>діяльності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u w:val="single"/>
                    </w:rPr>
                    <w:t>дітей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ru-RU"/>
        </w:rPr>
        <w:pict w14:anchorId="73C5D357">
          <v:roundrect id="_x0000_s1049" style="position:absolute;margin-left:-22.05pt;margin-top:343.55pt;width:145.5pt;height:60pt;z-index:251664384" arcsize="10923f">
            <v:textbox>
              <w:txbxContent>
                <w:p w14:paraId="0E7ED7DE" w14:textId="77777777" w:rsidR="004D2707" w:rsidRPr="004D2707" w:rsidRDefault="004D2707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Методи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досліджень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у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педагогічній</w:t>
                  </w:r>
                  <w:proofErr w:type="spellEnd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ергономіці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ru-RU"/>
        </w:rPr>
        <w:pict w14:anchorId="0749A366">
          <v:roundrect id="_x0000_s1060" style="position:absolute;margin-left:81.45pt;margin-top:462.9pt;width:141.5pt;height:222.85pt;rotation:941848fd;z-index:251674624" arcsize="10923f">
            <v:textbox>
              <w:txbxContent>
                <w:p w14:paraId="3BDE1032" w14:textId="77777777" w:rsidR="00527533" w:rsidRDefault="00527533"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Середовище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, в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якому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відбуваються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освітні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особистісні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процеси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взаємодії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учителів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та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учнів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на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основі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використання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новітніх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інформаційних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технологій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називають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функціональним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простором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сучасної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школи</w:t>
                  </w:r>
                  <w:proofErr w:type="spellEnd"/>
                  <w:r>
                    <w:rPr>
                      <w:rFonts w:ascii="Georgia" w:hAnsi="Georgia"/>
                      <w:color w:val="222222"/>
                      <w:sz w:val="23"/>
                      <w:szCs w:val="23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2F0E3E06">
          <v:roundrect id="_x0000_s1050" style="position:absolute;margin-left:16.05pt;margin-top:685.05pt;width:160.3pt;height:81.95pt;z-index:251665408" arcsize="10923f">
            <v:textbox>
              <w:txbxContent>
                <w:p w14:paraId="58EDC892" w14:textId="77777777" w:rsidR="004D2707" w:rsidRPr="004D2707" w:rsidRDefault="004D2707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ЕРГОНОМІЧНА ОРГАНІЗАЦІЯ ФУНКЦІОНАЛЬНОГО ПРОСТОРУ В ШКОЛІ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506E27F9">
          <v:rect id="_x0000_s1059" style="position:absolute;margin-left:260.7pt;margin-top:562.8pt;width:147pt;height:117.6pt;z-index:251673600">
            <v:textbox>
              <w:txbxContent>
                <w:p w14:paraId="36351E3D" w14:textId="77777777" w:rsidR="005A4606" w:rsidRDefault="00527533" w:rsidP="00527533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uk-UA"/>
                    </w:rPr>
                  </w:pPr>
                  <w:proofErr w:type="spellStart"/>
                  <w:r>
                    <w:t>Ди</w:t>
                  </w:r>
                  <w:proofErr w:type="spellEnd"/>
                  <w:r>
                    <w:rPr>
                      <w:lang w:val="uk-UA"/>
                    </w:rPr>
                    <w:t>д</w:t>
                  </w:r>
                  <w:proofErr w:type="spellStart"/>
                  <w:r>
                    <w:t>актичн</w:t>
                  </w:r>
                  <w:proofErr w:type="spellEnd"/>
                  <w:r w:rsidRPr="00527533">
                    <w:rPr>
                      <w:lang w:val="uk-UA"/>
                    </w:rPr>
                    <w:t>і закономірності</w:t>
                  </w:r>
                </w:p>
                <w:p w14:paraId="2ED5D829" w14:textId="77777777" w:rsidR="00527533" w:rsidRDefault="00527533" w:rsidP="00527533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Гносеологічні </w:t>
                  </w:r>
                </w:p>
                <w:p w14:paraId="5CD27A1B" w14:textId="77777777" w:rsidR="00527533" w:rsidRDefault="00527533" w:rsidP="00527533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Психологічні </w:t>
                  </w:r>
                </w:p>
                <w:p w14:paraId="11A33627" w14:textId="77777777" w:rsidR="00527533" w:rsidRDefault="00527533" w:rsidP="00527533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Управлінські </w:t>
                  </w:r>
                </w:p>
                <w:p w14:paraId="3D612F90" w14:textId="77777777" w:rsidR="00527533" w:rsidRDefault="00527533" w:rsidP="00527533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Соціологічні </w:t>
                  </w:r>
                </w:p>
                <w:p w14:paraId="546A8665" w14:textId="77777777" w:rsidR="00527533" w:rsidRPr="00527533" w:rsidRDefault="00527533" w:rsidP="00527533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Організаційні </w:t>
                  </w:r>
                </w:p>
                <w:p w14:paraId="15B2BDCA" w14:textId="77777777" w:rsidR="00527533" w:rsidRPr="00527533" w:rsidRDefault="00527533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2D005359">
          <v:roundrect id="_x0000_s1051" style="position:absolute;margin-left:262.95pt;margin-top:674.55pt;width:194.25pt;height:96.75pt;z-index:251666432" arcsize="10923f">
            <v:textbox>
              <w:txbxContent>
                <w:p w14:paraId="5F2B278E" w14:textId="77777777" w:rsidR="004D2707" w:rsidRPr="004D2707" w:rsidRDefault="004D2707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ЗАГАЛЬНІ ЗАКОНОМІРНОСТІ УПРАВЛІННЯ ДІЯЛЬНІСТЮ УЧНЯ У ПРОЦЕСІ НАВЧАННЯ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008A59A6">
          <v:rect id="_x0000_s1058" style="position:absolute;margin-left:336.75pt;margin-top:457.8pt;width:155.25pt;height:101.25pt;z-index:251672576">
            <v:textbox style="mso-next-textbox:#_x0000_s1058">
              <w:txbxContent>
                <w:p w14:paraId="36467590" w14:textId="77777777" w:rsidR="005A4606" w:rsidRPr="005A4606" w:rsidRDefault="005A4606" w:rsidP="005A460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  <w:t>Основними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каналами</w:t>
                  </w:r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сприйняття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інформації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у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навчальному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процесі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е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зоровий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слуховий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шкірний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руховий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(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інколи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нюховий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смаковий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) 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аналізатори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02124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569DE063">
          <v:roundrect id="_x0000_s1048" style="position:absolute;margin-left:326.7pt;margin-top:5in;width:149.25pt;height:72.6pt;z-index:251663360" arcsize="10923f">
            <v:textbox style="mso-next-textbox:#_x0000_s1048">
              <w:txbxContent>
                <w:p w14:paraId="7D511738" w14:textId="77777777" w:rsidR="004D2707" w:rsidRPr="004D2707" w:rsidRDefault="004D2707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ОСНОВНІ ІНФОРМАЦІЙНІ КАНАЛИ ОРГАНІЗМУ УЧНЯ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01B620D1">
          <v:roundrect id="_x0000_s1057" style="position:absolute;margin-left:322.05pt;margin-top:166.2pt;width:169.95pt;height:91.5pt;z-index:251671552" arcsize="10923f">
            <v:textbox style="mso-next-textbox:#_x0000_s1057">
              <w:txbxContent>
                <w:p w14:paraId="09D57613" w14:textId="77777777" w:rsidR="005A4606" w:rsidRPr="005A4606" w:rsidRDefault="005A4606" w:rsidP="005A460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color w:val="222222"/>
                    </w:rPr>
                  </w:pPr>
                  <w:proofErr w:type="spellStart"/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>Сенсорна</w:t>
                  </w:r>
                  <w:proofErr w:type="spellEnd"/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 xml:space="preserve"> </w:t>
                  </w:r>
                  <w:proofErr w:type="spellStart"/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>інформація</w:t>
                  </w:r>
                  <w:proofErr w:type="spellEnd"/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> </w:t>
                  </w:r>
                </w:p>
                <w:p w14:paraId="5D1F7F22" w14:textId="77777777" w:rsidR="005A4606" w:rsidRPr="005A4606" w:rsidRDefault="005A4606" w:rsidP="005A460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color w:val="222222"/>
                    </w:rPr>
                  </w:pPr>
                  <w:r w:rsidRPr="005A4606">
                    <w:rPr>
                      <w:rFonts w:ascii="Times New Roman" w:hAnsi="Times New Roman" w:cs="Times New Roman"/>
                      <w:b/>
                      <w:color w:val="222222"/>
                    </w:rPr>
                    <w:t>Вербально-</w:t>
                  </w:r>
                  <w:proofErr w:type="spellStart"/>
                  <w:r w:rsidRPr="005A4606">
                    <w:rPr>
                      <w:rFonts w:ascii="Times New Roman" w:hAnsi="Times New Roman" w:cs="Times New Roman"/>
                      <w:b/>
                      <w:color w:val="222222"/>
                    </w:rPr>
                    <w:t>образну</w:t>
                  </w:r>
                  <w:proofErr w:type="spellEnd"/>
                  <w:r w:rsidRPr="005A4606">
                    <w:rPr>
                      <w:rFonts w:ascii="Times New Roman" w:hAnsi="Times New Roman" w:cs="Times New Roman"/>
                      <w:b/>
                      <w:color w:val="222222"/>
                    </w:rPr>
                    <w:t xml:space="preserve"> </w:t>
                  </w:r>
                </w:p>
                <w:p w14:paraId="1C5D1917" w14:textId="77777777" w:rsidR="005A4606" w:rsidRPr="005A4606" w:rsidRDefault="005A4606" w:rsidP="005A460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color w:val="222222"/>
                    </w:rPr>
                  </w:pPr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 xml:space="preserve">Структурна </w:t>
                  </w:r>
                  <w:proofErr w:type="spellStart"/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>інформація</w:t>
                  </w:r>
                  <w:proofErr w:type="spellEnd"/>
                  <w:r w:rsidRPr="005A4606">
                    <w:rPr>
                      <w:rStyle w:val="a4"/>
                      <w:rFonts w:ascii="Times New Roman" w:hAnsi="Times New Roman" w:cs="Times New Roman"/>
                      <w:iCs/>
                      <w:color w:val="222222"/>
                    </w:rPr>
                    <w:t> </w:t>
                  </w:r>
                </w:p>
                <w:p w14:paraId="3A9843C0" w14:textId="77777777" w:rsidR="005A4606" w:rsidRDefault="005A4606"/>
              </w:txbxContent>
            </v:textbox>
          </v:roundrect>
        </w:pict>
      </w:r>
      <w:r>
        <w:rPr>
          <w:noProof/>
          <w:lang w:eastAsia="ru-RU"/>
        </w:rPr>
        <w:pict w14:anchorId="4315B19D">
          <v:roundrect id="_x0000_s1046" style="position:absolute;margin-left:326.7pt;margin-top:264.95pt;width:159pt;height:78.6pt;z-index:251661312" arcsize="10923f">
            <v:textbox style="mso-next-textbox:#_x0000_s1046">
              <w:txbxContent>
                <w:p w14:paraId="0B70381B" w14:textId="77777777" w:rsidR="00B52378" w:rsidRPr="005A4606" w:rsidRDefault="004D2707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5A4606">
                    <w:rPr>
                      <w:rFonts w:ascii="Times New Roman" w:hAnsi="Times New Roman" w:cs="Times New Roman"/>
                      <w:b/>
                      <w:u w:val="single"/>
                    </w:rPr>
                    <w:t>ВИДИ ІНФОРМАЦІЙНОГО ВПЛИВУ НА УЧНЯ У ПРОЦЕСІ НАВЧАННЯ.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324BBD03">
          <v:rect id="_x0000_s1056" style="position:absolute;margin-left:247.95pt;margin-top:20.55pt;width:159.75pt;height:115.5pt;z-index:251670528">
            <v:textbox style="mso-next-textbox:#_x0000_s1056">
              <w:txbxContent>
                <w:p w14:paraId="082C2682" w14:textId="77777777" w:rsidR="00F82321" w:rsidRPr="00C463BD" w:rsidRDefault="00C463BD" w:rsidP="00C463B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Основою э -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вивчення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діяльності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суб'єктів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навчального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процесу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системі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учень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викладач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засоби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навчання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навчальне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середовище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" і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закономірності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фізіологічних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психофізіологічних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процесів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що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є основою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цієї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діяльності</w:t>
                  </w:r>
                  <w:proofErr w:type="spellEnd"/>
                  <w:r w:rsidRPr="00C463BD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E9EF8EE">
          <v:roundrect id="_x0000_s1045" style="position:absolute;margin-left:262.95pt;margin-top:-53.85pt;width:172.3pt;height:74.4pt;z-index:251660288" arcsize="10923f">
            <v:textbox style="mso-next-textbox:#_x0000_s1045">
              <w:txbxContent>
                <w:p w14:paraId="17D1E92C" w14:textId="77777777" w:rsidR="00B52378" w:rsidRPr="00F82321" w:rsidRDefault="00B52378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F82321">
                    <w:rPr>
                      <w:rFonts w:ascii="Times New Roman" w:hAnsi="Times New Roman" w:cs="Times New Roman"/>
                      <w:b/>
                      <w:u w:val="single"/>
                    </w:rPr>
                    <w:t>ТЕОРЕТИКО-МЕТОДОЛОГІЧНІ ОСНОВИ ПЕДАГОГІЧНОЇ ЕРГОНОМІКИ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53C077F5">
          <v:rect id="_x0000_s1055" style="position:absolute;margin-left:59.7pt;margin-top:112.85pt;width:197.45pt;height:110.95pt;z-index:251669504">
            <v:textbox style="mso-next-textbox:#_x0000_s1055">
              <w:txbxContent>
                <w:p w14:paraId="523FEEBA" w14:textId="77777777" w:rsidR="00F82321" w:rsidRPr="00F82321" w:rsidRDefault="00F8232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82321">
                    <w:rPr>
                      <w:sz w:val="20"/>
                      <w:szCs w:val="20"/>
                    </w:rPr>
                    <w:t>Другий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етап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сформувався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комплексний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підхід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вивчення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трудової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діяльності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людини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Цей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принципово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новий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підхід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передбачає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вирішення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триєдиного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завдання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підвищення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продуктивності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праці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збереження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здо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ров'я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розвиток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особистості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людини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9C6E65F">
          <v:rect id="_x0000_s1054" style="position:absolute;margin-left:49.7pt;margin-top:46.8pt;width:184.5pt;height:84pt;z-index:251668480">
            <v:textbox style="mso-next-textbox:#_x0000_s1054">
              <w:txbxContent>
                <w:p w14:paraId="600E80BE" w14:textId="77777777" w:rsidR="00F82321" w:rsidRDefault="00F82321">
                  <w:r>
                    <w:rPr>
                      <w:sz w:val="20"/>
                      <w:szCs w:val="20"/>
                    </w:rPr>
                    <w:t xml:space="preserve">Перший этап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характеризувався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тим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що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людина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по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відношенню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до машинного компонента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була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визначальним</w:t>
                  </w:r>
                  <w:proofErr w:type="spellEnd"/>
                  <w:r w:rsidRPr="00F82321">
                    <w:rPr>
                      <w:sz w:val="20"/>
                      <w:szCs w:val="20"/>
                    </w:rPr>
                    <w:t xml:space="preserve">, а </w:t>
                  </w:r>
                  <w:proofErr w:type="spellStart"/>
                  <w:r w:rsidRPr="00F82321">
                    <w:rPr>
                      <w:sz w:val="20"/>
                      <w:szCs w:val="20"/>
                    </w:rPr>
                    <w:t>доповняльним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елементом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7E80815B">
          <v:rect id="_x0000_s1053" style="position:absolute;margin-left:-11.1pt;margin-top:2.4pt;width:161pt;height:50.45pt;z-index:251667456">
            <v:textbox style="mso-next-textbox:#_x0000_s1053">
              <w:txbxContent>
                <w:p w14:paraId="3D44A2AE" w14:textId="77777777" w:rsidR="00F82321" w:rsidRPr="00F82321" w:rsidRDefault="00F82321" w:rsidP="00F82321">
                  <w:pPr>
                    <w:jc w:val="both"/>
                    <w:rPr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>Розвиваючись</w:t>
                  </w:r>
                  <w:proofErr w:type="spellEnd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 xml:space="preserve">, </w:t>
                  </w:r>
                  <w:proofErr w:type="spellStart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>ергономіка</w:t>
                  </w:r>
                  <w:proofErr w:type="spellEnd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>пройшла</w:t>
                  </w:r>
                  <w:proofErr w:type="spellEnd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 xml:space="preserve"> два </w:t>
                  </w:r>
                  <w:proofErr w:type="spellStart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>етапи</w:t>
                  </w:r>
                  <w:proofErr w:type="spellEnd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>становлення</w:t>
                  </w:r>
                  <w:proofErr w:type="spellEnd"/>
                  <w:r w:rsidRPr="00F82321">
                    <w:rPr>
                      <w:i/>
                      <w:sz w:val="20"/>
                      <w:szCs w:val="20"/>
                      <w:u w:val="single"/>
                    </w:rPr>
                    <w:t xml:space="preserve">; </w:t>
                  </w:r>
                </w:p>
                <w:p w14:paraId="0D21B9B7" w14:textId="77777777" w:rsidR="00F82321" w:rsidRDefault="00F82321"/>
              </w:txbxContent>
            </v:textbox>
          </v:rect>
        </w:pict>
      </w:r>
      <w:r>
        <w:rPr>
          <w:noProof/>
          <w:lang w:eastAsia="ru-RU"/>
        </w:rPr>
        <w:pict w14:anchorId="22EF7EC4">
          <v:group id="_x0000_s1026" style="position:absolute;margin-left:-74.5pt;margin-top:-61.95pt;width:583.65pt;height:805.3pt;z-index:251658240" coordorigin="114,151" coordsize="11673,16106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7" type="#_x0000_t6" style="position:absolute;left:682;top:681;width:5381;height:7580">
              <v:textbox style="mso-next-textbox:#_x0000_s1028">
                <w:txbxContent>
                  <w:p w14:paraId="2C0BCE8B" w14:textId="77777777" w:rsidR="00B52378" w:rsidRPr="007C4BA6" w:rsidRDefault="00B52378" w:rsidP="00B52378">
                    <w:pPr>
                      <w:jc w:val="both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28" type="#_x0000_t6" style="position:absolute;left:6063;top:681;width:5381;height:7580;flip:x">
              <v:textbox style="mso-next-textbox:#_x0000_s1028">
                <w:txbxContent/>
              </v:textbox>
            </v:shape>
            <v:shape id="_x0000_s1029" type="#_x0000_t6" style="position:absolute;left:6063;top:8261;width:5381;height:7580;flip:x y">
              <v:textbox style="mso-next-textbox:#_x0000_s1029">
                <w:txbxContent>
                  <w:p w14:paraId="148A42B2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172D6D06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44BC4829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06292397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73471166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08736314" w14:textId="77777777" w:rsidR="00B52378" w:rsidRPr="0091741C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</w:txbxContent>
              </v:textbox>
            </v:shape>
            <v:shape id="_x0000_s1030" type="#_x0000_t6" style="position:absolute;left:682;top:8261;width:5381;height:7580;flip:y">
              <v:textbox style="mso-next-textbox:#_x0000_s1030">
                <w:txbxContent>
                  <w:p w14:paraId="75A21C8D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672E50DF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76E15A64" w14:textId="77777777" w:rsidR="00B52378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  <w:p w14:paraId="3E55B74C" w14:textId="77777777" w:rsidR="00B52378" w:rsidRPr="0091741C" w:rsidRDefault="00B52378" w:rsidP="00B52378">
                    <w:pPr>
                      <w:rPr>
                        <w:szCs w:val="48"/>
                        <w:lang w:val="uk-UA"/>
                      </w:rPr>
                    </w:pPr>
                  </w:p>
                </w:txbxContent>
              </v:textbox>
            </v:shape>
            <v:shape id="_x0000_s1031" type="#_x0000_t6" style="position:absolute;left:6063;top:681;width:5381;height:7580;flip:y">
              <v:textbox style="mso-next-textbox:#_x0000_s1031">
                <w:txbxContent>
                  <w:p w14:paraId="4E9B62DD" w14:textId="77777777" w:rsidR="00B52378" w:rsidRDefault="00B52378" w:rsidP="00B52378">
                    <w:pPr>
                      <w:rPr>
                        <w:lang w:val="uk-UA"/>
                      </w:rPr>
                    </w:pPr>
                  </w:p>
                  <w:p w14:paraId="3A2C8C21" w14:textId="77777777" w:rsidR="00B52378" w:rsidRDefault="00B52378" w:rsidP="00B52378">
                    <w:pPr>
                      <w:rPr>
                        <w:lang w:val="uk-UA"/>
                      </w:rPr>
                    </w:pPr>
                  </w:p>
                  <w:p w14:paraId="5A08B1A4" w14:textId="77777777" w:rsidR="00B52378" w:rsidRDefault="00B52378" w:rsidP="00B52378">
                    <w:pPr>
                      <w:rPr>
                        <w:lang w:val="uk-UA"/>
                      </w:rPr>
                    </w:pPr>
                  </w:p>
                  <w:p w14:paraId="1A93D0C0" w14:textId="77777777" w:rsidR="00B52378" w:rsidRDefault="00B52378" w:rsidP="00B52378">
                    <w:pPr>
                      <w:rPr>
                        <w:lang w:val="uk-UA"/>
                      </w:rPr>
                    </w:pPr>
                  </w:p>
                  <w:p w14:paraId="33BC0601" w14:textId="77777777" w:rsidR="00B52378" w:rsidRPr="0091741C" w:rsidRDefault="00B52378" w:rsidP="00B52378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v:shape id="_x0000_s1032" type="#_x0000_t6" style="position:absolute;left:682;top:681;width:5381;height:7580;flip:x y">
              <v:textbox style="mso-next-textbox:#_x0000_s1032">
                <w:txbxContent>
                  <w:p w14:paraId="45B9D41D" w14:textId="77777777" w:rsidR="00CF6B44" w:rsidRPr="00F82321" w:rsidRDefault="00CF6B44" w:rsidP="00B52378">
                    <w:pPr>
                      <w:jc w:val="both"/>
                      <w:rPr>
                        <w:i/>
                      </w:rPr>
                    </w:pPr>
                  </w:p>
                </w:txbxContent>
              </v:textbox>
            </v:shape>
            <v:shape id="_x0000_s1033" type="#_x0000_t6" style="position:absolute;left:6063;top:8261;width:5381;height:7580">
              <v:textbox style="mso-next-textbox:#_x0000_s1033">
                <w:txbxContent>
                  <w:p w14:paraId="1BCA002F" w14:textId="77777777" w:rsidR="00B52378" w:rsidRPr="005A6A91" w:rsidRDefault="00B52378" w:rsidP="00B52378">
                    <w:pPr>
                      <w:rPr>
                        <w:szCs w:val="48"/>
                      </w:rPr>
                    </w:pPr>
                  </w:p>
                </w:txbxContent>
              </v:textbox>
            </v:shape>
            <v:shape id="_x0000_s1034" type="#_x0000_t6" style="position:absolute;left:682;top:8261;width:5381;height:7580;flip:x">
              <v:textbox style="mso-next-textbox:#_x0000_s1034">
                <w:txbxContent>
                  <w:p w14:paraId="5754C844" w14:textId="77777777" w:rsidR="00B52378" w:rsidRPr="005A6A91" w:rsidRDefault="00B52378" w:rsidP="00B52378">
                    <w:pPr>
                      <w:rPr>
                        <w:szCs w:val="48"/>
                      </w:rPr>
                    </w:pPr>
                  </w:p>
                </w:txbxContent>
              </v:textbox>
            </v:shape>
            <v:oval id="_x0000_s1035" style="position:absolute;left:3562;top:6177;width:5040;height:4471" fillcolor="#00b0f0">
              <v:textbox style="mso-next-textbox:#_x0000_s1035">
                <w:txbxContent>
                  <w:p w14:paraId="42A4E898" w14:textId="77777777" w:rsidR="00B52378" w:rsidRPr="00B52378" w:rsidRDefault="00B52378" w:rsidP="00B52378">
                    <w:pPr>
                      <w:spacing w:after="0" w:line="240" w:lineRule="auto"/>
                      <w:jc w:val="center"/>
                      <w:rPr>
                        <w:rFonts w:ascii="Times New Roman" w:hAnsi="Times New Roman" w:cs="Aharoni"/>
                        <w:b/>
                        <w:i/>
                        <w:color w:val="0D0D0D" w:themeColor="text1" w:themeTint="F2"/>
                        <w:sz w:val="48"/>
                        <w:szCs w:val="48"/>
                        <w:u w:val="single"/>
                        <w:lang w:val="uk-UA"/>
                      </w:rPr>
                    </w:pPr>
                    <w:r w:rsidRPr="00B52378">
                      <w:rPr>
                        <w:rFonts w:cs="Aharoni"/>
                        <w:b/>
                        <w:color w:val="0D0D0D" w:themeColor="text1" w:themeTint="F2"/>
                        <w:sz w:val="48"/>
                        <w:szCs w:val="48"/>
                        <w:u w:val="single"/>
                      </w:rPr>
                      <w:t>ПЕДАГОГІЧНА ЕРГОНОМІКА ЯК ГАЛУЗЬ ПЕДАГОГІКИ</w:t>
                    </w:r>
                  </w:p>
                </w:txbxContent>
              </v:textbox>
            </v:oval>
            <v:oval id="_x0000_s1036" style="position:absolute;left:342;top:151;width:1478;height:1478" fillcolor="#00b0f0">
              <v:textbox style="mso-next-textbox:#_x0000_s1036">
                <w:txbxContent>
                  <w:p w14:paraId="6C552E5C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oval>
            <v:oval id="_x0000_s1037" style="position:absolute;left:5269;top:151;width:1478;height:1478" fillcolor="#00b0f0">
              <v:textbox style="mso-next-textbox:#_x0000_s1037">
                <w:txbxContent>
                  <w:p w14:paraId="2EEC4D23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oval>
            <v:oval id="_x0000_s1038" style="position:absolute;left:10309;top:151;width:1478;height:1478" fillcolor="#00b0f0">
              <v:textbox style="mso-next-textbox:#_x0000_s1038">
                <w:txbxContent>
                  <w:p w14:paraId="5BA9D42B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oval>
            <v:oval id="_x0000_s1039" style="position:absolute;left:10309;top:7276;width:1478;height:1478" fillcolor="#00b0f0">
              <v:fill opacity="64881f"/>
              <v:textbox style="mso-next-textbox:#_x0000_s1039">
                <w:txbxContent>
                  <w:p w14:paraId="54D34B64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oval>
            <v:oval id="_x0000_s1040" style="position:absolute;left:10309;top:14779;width:1478;height:1478" fillcolor="#00b0f0">
              <v:textbox style="mso-next-textbox:#_x0000_s1040">
                <w:txbxContent>
                  <w:p w14:paraId="247DB5AE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oval>
            <v:oval id="_x0000_s1041" style="position:absolute;left:5269;top:14779;width:1478;height:1478" fillcolor="#00b0f0">
              <v:textbox style="mso-next-textbox:#_x0000_s1041">
                <w:txbxContent>
                  <w:p w14:paraId="3ED7A45A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C4BA6"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oval>
            <v:oval id="_x0000_s1042" style="position:absolute;left:342;top:14779;width:1478;height:1478" fillcolor="#00b0f0">
              <v:textbox style="mso-next-textbox:#_x0000_s1042">
                <w:txbxContent>
                  <w:p w14:paraId="4558AA3E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oval>
            <v:oval id="_x0000_s1043" style="position:absolute;left:114;top:7502;width:1478;height:1478" fillcolor="#00b0f0">
              <v:textbox style="mso-next-textbox:#_x0000_s1043">
                <w:txbxContent>
                  <w:p w14:paraId="77E8631D" w14:textId="77777777" w:rsidR="00B52378" w:rsidRPr="007C4BA6" w:rsidRDefault="00B52378" w:rsidP="00B52378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7C4BA6">
                      <w:rPr>
                        <w:rFonts w:ascii="Times New Roman" w:hAnsi="Times New Roman"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oval>
          </v:group>
        </w:pict>
      </w:r>
      <w:r>
        <w:rPr>
          <w:noProof/>
          <w:lang w:eastAsia="ru-RU"/>
        </w:rPr>
        <w:pict w14:anchorId="58DEDEAC">
          <v:roundrect id="_x0000_s1044" style="position:absolute;margin-left:16.05pt;margin-top:-53.85pt;width:152.25pt;height:56.25pt;z-index:251659264" arcsize="10923f">
            <v:textbox>
              <w:txbxContent>
                <w:p w14:paraId="132A846A" w14:textId="77777777" w:rsidR="00B52378" w:rsidRPr="004D2707" w:rsidRDefault="00B52378" w:rsidP="004D27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4D27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ЕРГОНОМІКА ТА ЇЇ МІСЦЕ В СИСТЕМІ НАУК</w:t>
                  </w:r>
                </w:p>
              </w:txbxContent>
            </v:textbox>
          </v:roundrect>
        </w:pict>
      </w:r>
      <w:r w:rsidR="00B52378">
        <w:t>ТЕОРЕТИКО-МЕТОДОЛОГІЧНІ ОСНОВИ ПЕДАГОГІЧНОЇ ЕРГОНОМІКИЕРГОНОМІКА ТА ЇЇ МІСЦЕ В СИСТЕМІ НАУК</w:t>
      </w:r>
    </w:p>
    <w:sectPr w:rsidR="00481DBC" w:rsidSect="0019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ED8"/>
    <w:multiLevelType w:val="hybridMultilevel"/>
    <w:tmpl w:val="BE6CB4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4C81"/>
    <w:multiLevelType w:val="multilevel"/>
    <w:tmpl w:val="F3B63BD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A71B7"/>
    <w:multiLevelType w:val="hybridMultilevel"/>
    <w:tmpl w:val="15ACC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C0C"/>
    <w:multiLevelType w:val="hybridMultilevel"/>
    <w:tmpl w:val="A2203C0C"/>
    <w:lvl w:ilvl="0" w:tplc="FFC260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863E7"/>
    <w:multiLevelType w:val="hybridMultilevel"/>
    <w:tmpl w:val="D4CE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D5604"/>
    <w:multiLevelType w:val="hybridMultilevel"/>
    <w:tmpl w:val="1CB469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378"/>
    <w:rsid w:val="0003223F"/>
    <w:rsid w:val="001932B1"/>
    <w:rsid w:val="004D2707"/>
    <w:rsid w:val="00527533"/>
    <w:rsid w:val="00540C8C"/>
    <w:rsid w:val="005A4606"/>
    <w:rsid w:val="006C2416"/>
    <w:rsid w:val="00B273BE"/>
    <w:rsid w:val="00B52378"/>
    <w:rsid w:val="00C463BD"/>
    <w:rsid w:val="00CF6B44"/>
    <w:rsid w:val="00EC010E"/>
    <w:rsid w:val="00F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07CB76E9"/>
  <w15:docId w15:val="{A1082035-F2C6-42E2-88C3-8F31FC6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21"/>
    <w:pPr>
      <w:ind w:left="720"/>
      <w:contextualSpacing/>
    </w:pPr>
  </w:style>
  <w:style w:type="character" w:styleId="a4">
    <w:name w:val="Strong"/>
    <w:basedOn w:val="a0"/>
    <w:uiPriority w:val="22"/>
    <w:qFormat/>
    <w:rsid w:val="005A4606"/>
    <w:rPr>
      <w:b/>
      <w:bCs/>
    </w:rPr>
  </w:style>
  <w:style w:type="paragraph" w:styleId="a5">
    <w:name w:val="Normal (Web)"/>
    <w:basedOn w:val="a"/>
    <w:uiPriority w:val="99"/>
    <w:semiHidden/>
    <w:unhideWhenUsed/>
    <w:rsid w:val="00EC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Lenovo</cp:lastModifiedBy>
  <cp:revision>2</cp:revision>
  <dcterms:created xsi:type="dcterms:W3CDTF">2021-05-13T19:52:00Z</dcterms:created>
  <dcterms:modified xsi:type="dcterms:W3CDTF">2021-05-13T19:52:00Z</dcterms:modified>
</cp:coreProperties>
</file>