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page16R_mcid6"/>
      <w:bookmarkEnd w:id="0"/>
      <w:r>
        <w:rPr>
          <w:rFonts w:ascii="Times New Roman" w:hAnsi="Times New Roman"/>
          <w:b/>
          <w:bCs/>
          <w:sz w:val="28"/>
          <w:szCs w:val="28"/>
        </w:rPr>
        <w:t>Тема 2. Генеза релігійної свідомості та її філософська рефлексія від</w:t>
        <w:br/>
        <w:t xml:space="preserve">початків до епохи Відродження.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 становлення і розвитку релігії крізь потреби окремої людини, та потреби історично конкретних соціальних систем, які отримують відповідне відображення у релігійних формах.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Ранні форми релігії. Етнічні релігії.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Філософія релігійної свідомості епох Античності, Середньовіччя та Відродження.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52</Words>
  <Characters>352</Characters>
  <CharactersWithSpaces>400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2022-02-21T19:25:23Z</dcterms:created>
  <dc:creator/>
  <dc:description/>
  <dc:language>uk-UA</dc:language>
  <cp:lastModifiedBy/>
  <dcterms:modified xsi:type="dcterms:W3CDTF">2022-02-21T19:27:53Z</dcterms:modified>
  <cp:revision>1</cp:revision>
  <dc:subject/>
  <dc:title/>
</cp:coreProperties>
</file>