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7. Віра, надія, любов та мудрість, як базові категорії релігійної</w:t>
        <w:br/>
        <w:t xml:space="preserve">свідомості. </w:t>
      </w:r>
    </w:p>
    <w:p>
      <w:pPr>
        <w:pStyle w:val="Normal"/>
        <w:numPr>
          <w:ilvl w:val="0"/>
          <w:numId w:val="3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Взаємозв'язок знання та віри як внутрішньо властивій системі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bookmarkStart w:id="0" w:name="page17R_mcid0"/>
      <w:bookmarkEnd w:id="0"/>
      <w:r>
        <w:rPr>
          <w:rFonts w:ascii="Times New Roman" w:hAnsi="Times New Roman"/>
          <w:sz w:val="28"/>
          <w:szCs w:val="28"/>
        </w:rPr>
        <w:t xml:space="preserve">свідомості, його об'єктивний характер.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Релігійне знання як особливий тип знання – знання про невідоме.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36</Words>
  <Characters>219</Characters>
  <CharactersWithSpaces>251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2022-02-22T01:04:29Z</dcterms:created>
  <dc:creator/>
  <dc:description/>
  <dc:language>uk-UA</dc:language>
  <cp:lastModifiedBy/>
  <dcterms:modified xsi:type="dcterms:W3CDTF">2022-02-22T01:05:15Z</dcterms:modified>
  <cp:revision>1</cp:revision>
  <dc:subject/>
  <dc:title/>
</cp:coreProperties>
</file>