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9. Релігійна мораль як регулятор свідомості та поведінки віруючої</w:t>
        <w:br/>
        <w:t xml:space="preserve">людини.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Система норм і принципів поведінки людей по відношенню один до</w:t>
        <w:br/>
        <w:t xml:space="preserve">одного і до суспільства.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Мораль разом зі свободою як субстанціальний початок людини, що обумовлює свідомість.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Світогляд що закріплюється в звичаях, як історично перша форма суспільної свідомості.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Міфічна мораль, релігійна мораль, філософська мораль.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57</Words>
  <Characters>347</Characters>
  <CharactersWithSpaces>399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2022-02-22T01:06:40Z</dcterms:created>
  <dc:creator/>
  <dc:description/>
  <dc:language>uk-UA</dc:language>
  <cp:lastModifiedBy/>
  <dcterms:modified xsi:type="dcterms:W3CDTF">2022-02-22T01:07:07Z</dcterms:modified>
  <cp:revision>1</cp:revision>
  <dc:subject/>
  <dc:title/>
</cp:coreProperties>
</file>