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ind w:left="7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11. Філософські особливості індуїстської та буддистської релігійних культур.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Географічні, історичні, культурні та світоглядні передумови</w:t>
        <w:br/>
        <w:t xml:space="preserve">виникнення та розвитку індуїстської релігійної культури.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Минуле і сучасне індуїстської релігійної культури.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Географічні, історичні, культурні та світоглядні передумови виникнення та розвитку буддійської релігійної культури.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Минуле і сучасне буддійської релігійної культури.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49</Words>
  <Characters>379</Characters>
  <CharactersWithSpaces>423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2022-02-22T01:11:30Z</dcterms:created>
  <dc:creator/>
  <dc:description/>
  <dc:language>uk-UA</dc:language>
  <cp:lastModifiedBy/>
  <dcterms:modified xsi:type="dcterms:W3CDTF">2022-02-22T01:12:23Z</dcterms:modified>
  <cp:revision>1</cp:revision>
  <dc:subject/>
  <dc:title/>
</cp:coreProperties>
</file>