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13. Стан релігійної свідомості українського суспільства на етапі</w:t>
        <w:br/>
        <w:t>його трансформації.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Географічні, історичні, культурні та світоглядні передумови виникнення та розвитку української релігійної культури.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Минуле і сучасне християнської релігійної культури. </w:t>
      </w:r>
    </w:p>
    <w:p>
      <w:pPr>
        <w:pStyle w:val="Normal"/>
        <w:numPr>
          <w:ilvl w:val="0"/>
          <w:numId w:val="1"/>
        </w:numPr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Релігійність українського народу: загальне та особливе (антеїзм, кордоцентризм, двовір'я та ін.).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ии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43</Words>
  <Characters>322</Characters>
  <CharactersWithSpaces>361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2022-02-22T01:13:49Z</dcterms:created>
  <dc:creator/>
  <dc:description/>
  <dc:language>uk-UA</dc:language>
  <cp:lastModifiedBy/>
  <dcterms:modified xsi:type="dcterms:W3CDTF">2022-02-22T01:14:27Z</dcterms:modified>
  <cp:revision>1</cp:revision>
  <dc:subject/>
  <dc:title/>
</cp:coreProperties>
</file>