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ема 16. Детермінанти оптимізації розвитку релігійної свідомості</w:t>
        <w:br/>
        <w:t xml:space="preserve">українського суспільства. 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Взаємозв’язок традицій і новацій як внутрішня закономірність, що зумовлює спадкоємність у розвитку релігійної культури.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Особливості прояву внутрішньої закономірності спадкоємності в розвитку релігійної культури на різних історичних етапах. 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 спадкоємності в розвитку релігійної культури в сучасному українському суспільстві</w:t>
      </w:r>
      <w:bookmarkStart w:id="0" w:name="page18R_mcid9"/>
      <w:bookmarkEnd w:id="0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Детермінанти оптимізації розвитку релігійної культури України.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LibreOffice/6.4.7.2$Linux_X86_64 LibreOffice_project/40$Build-2</Application>
  <Pages>1</Pages>
  <Words>56</Words>
  <Characters>438</Characters>
  <CharactersWithSpaces>487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2022-02-21T19:25:23Z</dcterms:created>
  <dc:creator/>
  <dc:description/>
  <dc:language>uk-UA</dc:language>
  <cp:lastModifiedBy/>
  <dcterms:modified xsi:type="dcterms:W3CDTF">2022-02-22T01:17:06Z</dcterms:modified>
  <cp:revision>1</cp:revision>
  <dc:subject/>
  <dc:title/>
</cp:coreProperties>
</file>