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4EA" w:rsidRDefault="009134EA">
      <w:pPr>
        <w:spacing w:line="60" w:lineRule="exact"/>
        <w:rPr>
          <w:sz w:val="24"/>
          <w:szCs w:val="24"/>
        </w:rPr>
      </w:pPr>
    </w:p>
    <w:p w:rsidR="00F67BF6" w:rsidRDefault="00F67BF6">
      <w:pPr>
        <w:spacing w:line="215" w:lineRule="auto"/>
        <w:ind w:right="10"/>
        <w:jc w:val="center"/>
        <w:rPr>
          <w:rFonts w:eastAsia="Times New Roman"/>
          <w:b/>
          <w:bCs/>
          <w:lang w:val="uk-UA"/>
        </w:rPr>
      </w:pPr>
      <w:r>
        <w:rPr>
          <w:rFonts w:eastAsia="Times New Roman"/>
          <w:b/>
          <w:bCs/>
          <w:lang w:val="uk-UA"/>
        </w:rPr>
        <w:t xml:space="preserve">Тема 8. </w:t>
      </w:r>
    </w:p>
    <w:p w:rsidR="00F67BF6" w:rsidRPr="00F67BF6" w:rsidRDefault="00F67BF6" w:rsidP="00F67BF6">
      <w:pPr>
        <w:spacing w:line="215" w:lineRule="auto"/>
        <w:ind w:right="10"/>
        <w:jc w:val="center"/>
        <w:rPr>
          <w:rFonts w:eastAsia="Times New Roman"/>
          <w:b/>
          <w:bCs/>
        </w:rPr>
      </w:pPr>
      <w:proofErr w:type="spellStart"/>
      <w:r w:rsidRPr="00F67BF6">
        <w:rPr>
          <w:rFonts w:eastAsia="Times New Roman"/>
          <w:b/>
          <w:bCs/>
        </w:rPr>
        <w:t>Моделі</w:t>
      </w:r>
      <w:proofErr w:type="spellEnd"/>
      <w:r w:rsidRPr="00F67BF6">
        <w:rPr>
          <w:rFonts w:eastAsia="Times New Roman"/>
          <w:b/>
          <w:bCs/>
        </w:rPr>
        <w:t xml:space="preserve"> та </w:t>
      </w:r>
      <w:proofErr w:type="spellStart"/>
      <w:r w:rsidRPr="00F67BF6">
        <w:rPr>
          <w:rFonts w:eastAsia="Times New Roman"/>
          <w:b/>
          <w:bCs/>
        </w:rPr>
        <w:t>методи</w:t>
      </w:r>
      <w:proofErr w:type="spellEnd"/>
      <w:r w:rsidRPr="00F67BF6">
        <w:rPr>
          <w:rFonts w:eastAsia="Times New Roman"/>
          <w:b/>
          <w:bCs/>
        </w:rPr>
        <w:t xml:space="preserve"> </w:t>
      </w:r>
      <w:proofErr w:type="spellStart"/>
      <w:r w:rsidRPr="00F67BF6">
        <w:rPr>
          <w:rFonts w:eastAsia="Times New Roman"/>
          <w:b/>
          <w:bCs/>
        </w:rPr>
        <w:t>оцінки</w:t>
      </w:r>
      <w:proofErr w:type="spellEnd"/>
      <w:r w:rsidRPr="00F67BF6">
        <w:rPr>
          <w:rFonts w:eastAsia="Times New Roman"/>
          <w:b/>
          <w:bCs/>
        </w:rPr>
        <w:t xml:space="preserve"> </w:t>
      </w:r>
      <w:proofErr w:type="spellStart"/>
      <w:proofErr w:type="gramStart"/>
      <w:r w:rsidRPr="00F67BF6">
        <w:rPr>
          <w:rFonts w:eastAsia="Times New Roman"/>
          <w:b/>
          <w:bCs/>
        </w:rPr>
        <w:t>р</w:t>
      </w:r>
      <w:proofErr w:type="gramEnd"/>
      <w:r w:rsidRPr="00F67BF6">
        <w:rPr>
          <w:rFonts w:eastAsia="Times New Roman"/>
          <w:b/>
          <w:bCs/>
        </w:rPr>
        <w:t>івня</w:t>
      </w:r>
      <w:proofErr w:type="spellEnd"/>
      <w:r w:rsidRPr="00F67BF6">
        <w:rPr>
          <w:rFonts w:eastAsia="Times New Roman"/>
          <w:b/>
          <w:bCs/>
        </w:rPr>
        <w:t xml:space="preserve"> </w:t>
      </w:r>
      <w:proofErr w:type="spellStart"/>
      <w:r w:rsidRPr="00F67BF6">
        <w:rPr>
          <w:rFonts w:eastAsia="Times New Roman"/>
          <w:b/>
          <w:bCs/>
        </w:rPr>
        <w:t>безпеки</w:t>
      </w:r>
      <w:proofErr w:type="spellEnd"/>
      <w:r w:rsidRPr="00F67BF6">
        <w:rPr>
          <w:rFonts w:eastAsia="Times New Roman"/>
          <w:b/>
          <w:bCs/>
        </w:rPr>
        <w:t xml:space="preserve"> </w:t>
      </w:r>
      <w:proofErr w:type="spellStart"/>
      <w:r w:rsidRPr="00F67BF6">
        <w:rPr>
          <w:rFonts w:eastAsia="Times New Roman"/>
          <w:b/>
          <w:bCs/>
        </w:rPr>
        <w:t>фінансово-кредитних</w:t>
      </w:r>
      <w:proofErr w:type="spellEnd"/>
      <w:r w:rsidRPr="00F67BF6">
        <w:rPr>
          <w:rFonts w:eastAsia="Times New Roman"/>
          <w:b/>
          <w:bCs/>
        </w:rPr>
        <w:t xml:space="preserve"> </w:t>
      </w:r>
      <w:proofErr w:type="spellStart"/>
      <w:r w:rsidRPr="00F67BF6">
        <w:rPr>
          <w:rFonts w:eastAsia="Times New Roman"/>
          <w:b/>
          <w:bCs/>
        </w:rPr>
        <w:t>установ</w:t>
      </w:r>
      <w:proofErr w:type="spellEnd"/>
    </w:p>
    <w:p w:rsidR="009134EA" w:rsidRDefault="009134EA">
      <w:pPr>
        <w:spacing w:line="31" w:lineRule="exact"/>
        <w:rPr>
          <w:sz w:val="24"/>
          <w:szCs w:val="24"/>
        </w:rPr>
      </w:pPr>
    </w:p>
    <w:p w:rsidR="00F67BF6" w:rsidRDefault="00F67BF6">
      <w:pPr>
        <w:spacing w:line="247" w:lineRule="auto"/>
        <w:ind w:left="570" w:right="20"/>
        <w:rPr>
          <w:rFonts w:eastAsia="Times New Roman"/>
          <w:i/>
          <w:iCs/>
          <w:sz w:val="16"/>
          <w:szCs w:val="16"/>
          <w:lang w:val="uk-UA"/>
        </w:rPr>
      </w:pPr>
    </w:p>
    <w:p w:rsidR="009134EA" w:rsidRDefault="009134EA">
      <w:pPr>
        <w:spacing w:line="61" w:lineRule="exact"/>
        <w:rPr>
          <w:sz w:val="24"/>
          <w:szCs w:val="24"/>
        </w:rPr>
      </w:pPr>
    </w:p>
    <w:p w:rsidR="00F67BF6" w:rsidRDefault="00F67BF6">
      <w:pPr>
        <w:ind w:left="10" w:right="20" w:firstLine="283"/>
        <w:jc w:val="both"/>
        <w:rPr>
          <w:rFonts w:eastAsia="Times New Roman"/>
          <w:sz w:val="20"/>
          <w:szCs w:val="20"/>
          <w:lang w:val="uk-UA"/>
        </w:rPr>
      </w:pPr>
      <w:r>
        <w:rPr>
          <w:rFonts w:eastAsia="Times New Roman"/>
          <w:sz w:val="20"/>
          <w:szCs w:val="20"/>
        </w:rPr>
        <w:t xml:space="preserve">Кризові явища в економіці </w:t>
      </w:r>
      <w:proofErr w:type="spellStart"/>
      <w:r>
        <w:rPr>
          <w:rFonts w:eastAsia="Times New Roman"/>
          <w:sz w:val="20"/>
          <w:szCs w:val="20"/>
        </w:rPr>
        <w:t>України</w:t>
      </w:r>
      <w:proofErr w:type="spellEnd"/>
      <w:r>
        <w:rPr>
          <w:rFonts w:eastAsia="Times New Roman"/>
          <w:sz w:val="20"/>
          <w:szCs w:val="20"/>
        </w:rPr>
        <w:t xml:space="preserve"> та </w:t>
      </w:r>
      <w:proofErr w:type="spellStart"/>
      <w:r>
        <w:rPr>
          <w:rFonts w:eastAsia="Times New Roman"/>
          <w:sz w:val="20"/>
          <w:szCs w:val="20"/>
        </w:rPr>
        <w:t>військовий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конфлікт</w:t>
      </w:r>
      <w:proofErr w:type="spellEnd"/>
      <w:r>
        <w:rPr>
          <w:rFonts w:eastAsia="Times New Roman"/>
          <w:sz w:val="20"/>
          <w:szCs w:val="20"/>
        </w:rPr>
        <w:t xml:space="preserve"> з</w:t>
      </w:r>
      <w:proofErr w:type="gramStart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Р</w:t>
      </w:r>
      <w:proofErr w:type="gramEnd"/>
      <w:r>
        <w:rPr>
          <w:rFonts w:eastAsia="Times New Roman"/>
          <w:sz w:val="20"/>
          <w:szCs w:val="20"/>
        </w:rPr>
        <w:t>осійською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Федерацією</w:t>
      </w:r>
      <w:proofErr w:type="spellEnd"/>
      <w:r>
        <w:rPr>
          <w:rFonts w:eastAsia="Times New Roman"/>
          <w:sz w:val="20"/>
          <w:szCs w:val="20"/>
        </w:rPr>
        <w:t xml:space="preserve">­ </w:t>
      </w:r>
      <w:proofErr w:type="spellStart"/>
      <w:r>
        <w:rPr>
          <w:rFonts w:eastAsia="Times New Roman"/>
          <w:sz w:val="20"/>
          <w:szCs w:val="20"/>
        </w:rPr>
        <w:t>мають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негативний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вплив</w:t>
      </w:r>
      <w:proofErr w:type="spellEnd"/>
      <w:r>
        <w:rPr>
          <w:rFonts w:eastAsia="Times New Roman"/>
          <w:sz w:val="20"/>
          <w:szCs w:val="20"/>
        </w:rPr>
        <w:t xml:space="preserve"> на вітчизняну банківську систему, що супроводжується </w:t>
      </w:r>
    </w:p>
    <w:p w:rsidR="00F67BF6" w:rsidRPr="00F67BF6" w:rsidRDefault="00F67BF6" w:rsidP="00F67BF6">
      <w:pPr>
        <w:pStyle w:val="a4"/>
        <w:numPr>
          <w:ilvl w:val="0"/>
          <w:numId w:val="11"/>
        </w:numPr>
        <w:ind w:right="20"/>
        <w:jc w:val="both"/>
        <w:rPr>
          <w:rFonts w:eastAsia="Times New Roman"/>
          <w:sz w:val="20"/>
          <w:szCs w:val="20"/>
          <w:lang w:val="uk-UA"/>
        </w:rPr>
      </w:pPr>
      <w:proofErr w:type="spellStart"/>
      <w:r w:rsidRPr="00F67BF6">
        <w:rPr>
          <w:rFonts w:eastAsia="Times New Roman"/>
          <w:sz w:val="20"/>
          <w:szCs w:val="20"/>
        </w:rPr>
        <w:t>відтоком</w:t>
      </w:r>
      <w:proofErr w:type="spellEnd"/>
      <w:r w:rsidRPr="00F67BF6">
        <w:rPr>
          <w:rFonts w:eastAsia="Times New Roman"/>
          <w:sz w:val="20"/>
          <w:szCs w:val="20"/>
        </w:rPr>
        <w:t xml:space="preserve"> </w:t>
      </w:r>
      <w:proofErr w:type="spellStart"/>
      <w:r w:rsidRPr="00F67BF6">
        <w:rPr>
          <w:rFonts w:eastAsia="Times New Roman"/>
          <w:sz w:val="20"/>
          <w:szCs w:val="20"/>
        </w:rPr>
        <w:t>вкладів</w:t>
      </w:r>
      <w:proofErr w:type="spellEnd"/>
      <w:r w:rsidRPr="00F67BF6">
        <w:rPr>
          <w:rFonts w:eastAsia="Times New Roman"/>
          <w:sz w:val="20"/>
          <w:szCs w:val="20"/>
        </w:rPr>
        <w:t xml:space="preserve"> </w:t>
      </w:r>
      <w:proofErr w:type="spellStart"/>
      <w:r w:rsidRPr="00F67BF6">
        <w:rPr>
          <w:rFonts w:eastAsia="Times New Roman"/>
          <w:sz w:val="20"/>
          <w:szCs w:val="20"/>
        </w:rPr>
        <w:t>населення</w:t>
      </w:r>
      <w:proofErr w:type="spellEnd"/>
      <w:r w:rsidRPr="00F67BF6">
        <w:rPr>
          <w:rFonts w:eastAsia="Times New Roman"/>
          <w:sz w:val="20"/>
          <w:szCs w:val="20"/>
        </w:rPr>
        <w:t xml:space="preserve">, </w:t>
      </w:r>
    </w:p>
    <w:p w:rsidR="00F67BF6" w:rsidRPr="00F67BF6" w:rsidRDefault="00F67BF6" w:rsidP="00F67BF6">
      <w:pPr>
        <w:pStyle w:val="a4"/>
        <w:numPr>
          <w:ilvl w:val="0"/>
          <w:numId w:val="11"/>
        </w:numPr>
        <w:ind w:right="20"/>
        <w:jc w:val="both"/>
        <w:rPr>
          <w:rFonts w:eastAsia="Times New Roman"/>
          <w:sz w:val="20"/>
          <w:szCs w:val="20"/>
          <w:lang w:val="uk-UA"/>
        </w:rPr>
      </w:pPr>
      <w:proofErr w:type="spellStart"/>
      <w:r w:rsidRPr="00F67BF6">
        <w:rPr>
          <w:rFonts w:eastAsia="Times New Roman"/>
          <w:sz w:val="20"/>
          <w:szCs w:val="20"/>
        </w:rPr>
        <w:t>зростанням</w:t>
      </w:r>
      <w:proofErr w:type="spellEnd"/>
      <w:r w:rsidRPr="00F67BF6">
        <w:rPr>
          <w:rFonts w:eastAsia="Times New Roman"/>
          <w:sz w:val="20"/>
          <w:szCs w:val="20"/>
        </w:rPr>
        <w:t xml:space="preserve"> </w:t>
      </w:r>
      <w:proofErr w:type="spellStart"/>
      <w:r w:rsidRPr="00F67BF6">
        <w:rPr>
          <w:rFonts w:eastAsia="Times New Roman"/>
          <w:sz w:val="20"/>
          <w:szCs w:val="20"/>
        </w:rPr>
        <w:t>простроченої</w:t>
      </w:r>
      <w:proofErr w:type="spellEnd"/>
      <w:r w:rsidRPr="00F67BF6">
        <w:rPr>
          <w:rFonts w:eastAsia="Times New Roman"/>
          <w:sz w:val="20"/>
          <w:szCs w:val="20"/>
        </w:rPr>
        <w:t xml:space="preserve"> </w:t>
      </w:r>
      <w:proofErr w:type="spellStart"/>
      <w:r w:rsidRPr="00F67BF6">
        <w:rPr>
          <w:rFonts w:eastAsia="Times New Roman"/>
          <w:sz w:val="20"/>
          <w:szCs w:val="20"/>
        </w:rPr>
        <w:t>заборгованості</w:t>
      </w:r>
      <w:proofErr w:type="spellEnd"/>
      <w:r w:rsidRPr="00F67BF6">
        <w:rPr>
          <w:rFonts w:eastAsia="Times New Roman"/>
          <w:sz w:val="20"/>
          <w:szCs w:val="20"/>
        </w:rPr>
        <w:t xml:space="preserve">, </w:t>
      </w:r>
    </w:p>
    <w:p w:rsidR="00F67BF6" w:rsidRPr="00F67BF6" w:rsidRDefault="00F67BF6" w:rsidP="00F67BF6">
      <w:pPr>
        <w:pStyle w:val="a4"/>
        <w:numPr>
          <w:ilvl w:val="0"/>
          <w:numId w:val="11"/>
        </w:numPr>
        <w:ind w:right="20"/>
        <w:jc w:val="both"/>
        <w:rPr>
          <w:rFonts w:eastAsia="Times New Roman"/>
          <w:sz w:val="20"/>
          <w:szCs w:val="20"/>
          <w:lang w:val="uk-UA"/>
        </w:rPr>
      </w:pPr>
      <w:proofErr w:type="spellStart"/>
      <w:r w:rsidRPr="00F67BF6">
        <w:rPr>
          <w:rFonts w:eastAsia="Times New Roman"/>
          <w:sz w:val="20"/>
          <w:szCs w:val="20"/>
        </w:rPr>
        <w:t>девальваційними</w:t>
      </w:r>
      <w:proofErr w:type="spellEnd"/>
      <w:r w:rsidRPr="00F67BF6">
        <w:rPr>
          <w:rFonts w:eastAsia="Times New Roman"/>
          <w:sz w:val="20"/>
          <w:szCs w:val="20"/>
        </w:rPr>
        <w:t xml:space="preserve"> та </w:t>
      </w:r>
      <w:proofErr w:type="spellStart"/>
      <w:r w:rsidRPr="00F67BF6">
        <w:rPr>
          <w:rFonts w:eastAsia="Times New Roman"/>
          <w:sz w:val="20"/>
          <w:szCs w:val="20"/>
        </w:rPr>
        <w:t>інфляційними</w:t>
      </w:r>
      <w:proofErr w:type="spellEnd"/>
      <w:r w:rsidRPr="00F67BF6">
        <w:rPr>
          <w:rFonts w:eastAsia="Times New Roman"/>
          <w:sz w:val="20"/>
          <w:szCs w:val="20"/>
        </w:rPr>
        <w:t xml:space="preserve"> </w:t>
      </w:r>
      <w:proofErr w:type="spellStart"/>
      <w:r w:rsidRPr="00F67BF6">
        <w:rPr>
          <w:rFonts w:eastAsia="Times New Roman"/>
          <w:sz w:val="20"/>
          <w:szCs w:val="20"/>
        </w:rPr>
        <w:t>тенденціями</w:t>
      </w:r>
      <w:proofErr w:type="spellEnd"/>
      <w:r w:rsidRPr="00F67BF6">
        <w:rPr>
          <w:rFonts w:eastAsia="Times New Roman"/>
          <w:sz w:val="20"/>
          <w:szCs w:val="20"/>
        </w:rPr>
        <w:t xml:space="preserve">, </w:t>
      </w:r>
    </w:p>
    <w:p w:rsidR="00F67BF6" w:rsidRPr="00F67BF6" w:rsidRDefault="00F67BF6" w:rsidP="00F67BF6">
      <w:pPr>
        <w:pStyle w:val="a4"/>
        <w:numPr>
          <w:ilvl w:val="0"/>
          <w:numId w:val="11"/>
        </w:numPr>
        <w:ind w:right="20"/>
        <w:jc w:val="both"/>
        <w:rPr>
          <w:rFonts w:eastAsia="Times New Roman"/>
          <w:sz w:val="20"/>
          <w:szCs w:val="20"/>
          <w:lang w:val="uk-UA"/>
        </w:rPr>
      </w:pPr>
      <w:proofErr w:type="spellStart"/>
      <w:r w:rsidRPr="00F67BF6">
        <w:rPr>
          <w:rFonts w:eastAsia="Times New Roman"/>
          <w:sz w:val="20"/>
          <w:szCs w:val="20"/>
        </w:rPr>
        <w:t>банкрутством</w:t>
      </w:r>
      <w:proofErr w:type="spellEnd"/>
      <w:r w:rsidRPr="00F67BF6">
        <w:rPr>
          <w:rFonts w:eastAsia="Times New Roman"/>
          <w:sz w:val="20"/>
          <w:szCs w:val="20"/>
        </w:rPr>
        <w:t xml:space="preserve"> </w:t>
      </w:r>
      <w:proofErr w:type="spellStart"/>
      <w:r w:rsidRPr="00F67BF6">
        <w:rPr>
          <w:rFonts w:eastAsia="Times New Roman"/>
          <w:sz w:val="20"/>
          <w:szCs w:val="20"/>
        </w:rPr>
        <w:t>контрагентів</w:t>
      </w:r>
      <w:proofErr w:type="spellEnd"/>
      <w:r w:rsidRPr="00F67BF6">
        <w:rPr>
          <w:rFonts w:eastAsia="Times New Roman"/>
          <w:sz w:val="20"/>
          <w:szCs w:val="20"/>
        </w:rPr>
        <w:t xml:space="preserve"> </w:t>
      </w:r>
      <w:proofErr w:type="spellStart"/>
      <w:r w:rsidRPr="00F67BF6">
        <w:rPr>
          <w:rFonts w:eastAsia="Times New Roman"/>
          <w:sz w:val="20"/>
          <w:szCs w:val="20"/>
        </w:rPr>
        <w:t>банків</w:t>
      </w:r>
      <w:proofErr w:type="spellEnd"/>
      <w:r w:rsidRPr="00F67BF6">
        <w:rPr>
          <w:rFonts w:eastAsia="Times New Roman"/>
          <w:sz w:val="20"/>
          <w:szCs w:val="20"/>
        </w:rPr>
        <w:t xml:space="preserve"> і самих банкі</w:t>
      </w:r>
      <w:proofErr w:type="gramStart"/>
      <w:r w:rsidRPr="00F67BF6">
        <w:rPr>
          <w:rFonts w:eastAsia="Times New Roman"/>
          <w:sz w:val="20"/>
          <w:szCs w:val="20"/>
        </w:rPr>
        <w:t>в</w:t>
      </w:r>
      <w:proofErr w:type="gramEnd"/>
      <w:r w:rsidRPr="00F67BF6">
        <w:rPr>
          <w:rFonts w:eastAsia="Times New Roman"/>
          <w:sz w:val="20"/>
          <w:szCs w:val="20"/>
        </w:rPr>
        <w:t xml:space="preserve">. </w:t>
      </w:r>
    </w:p>
    <w:p w:rsidR="009134EA" w:rsidRPr="0078474E" w:rsidRDefault="00F67BF6">
      <w:pPr>
        <w:ind w:left="10" w:right="20" w:firstLine="283"/>
        <w:jc w:val="both"/>
        <w:rPr>
          <w:sz w:val="20"/>
          <w:szCs w:val="20"/>
          <w:lang w:val="uk-UA"/>
        </w:rPr>
      </w:pPr>
      <w:r w:rsidRPr="00F67BF6">
        <w:rPr>
          <w:rFonts w:eastAsia="Times New Roman"/>
          <w:sz w:val="20"/>
          <w:szCs w:val="20"/>
          <w:lang w:val="uk-UA"/>
        </w:rPr>
        <w:t xml:space="preserve">Погіршення внаслідок цього економічної </w:t>
      </w:r>
      <w:r>
        <w:rPr>
          <w:rFonts w:eastAsia="Times New Roman"/>
          <w:sz w:val="20"/>
          <w:szCs w:val="20"/>
          <w:lang w:val="uk-UA"/>
        </w:rPr>
        <w:t xml:space="preserve">безпеки </w:t>
      </w:r>
      <w:r w:rsidRPr="00F67BF6">
        <w:rPr>
          <w:rFonts w:eastAsia="Times New Roman"/>
          <w:sz w:val="20"/>
          <w:szCs w:val="20"/>
          <w:lang w:val="uk-UA"/>
        </w:rPr>
        <w:t>країни призводить до суттєвого підриву фінан</w:t>
      </w:r>
      <w:r>
        <w:rPr>
          <w:rFonts w:eastAsia="Times New Roman"/>
          <w:sz w:val="20"/>
          <w:szCs w:val="20"/>
          <w:lang w:val="uk-UA"/>
        </w:rPr>
        <w:t>сової безпеки як окремих комер</w:t>
      </w:r>
      <w:r w:rsidRPr="00F67BF6">
        <w:rPr>
          <w:rFonts w:eastAsia="Times New Roman"/>
          <w:sz w:val="20"/>
          <w:szCs w:val="20"/>
          <w:lang w:val="uk-UA"/>
        </w:rPr>
        <w:t xml:space="preserve">ційних банків, так і всієї банківської системи, що вимагає пошуку новітніх напрямів управління фінансовою стійкістю та фінансовою безпекою банківської системи загалом. </w:t>
      </w:r>
      <w:r w:rsidRPr="0078474E">
        <w:rPr>
          <w:rFonts w:eastAsia="Times New Roman"/>
          <w:sz w:val="20"/>
          <w:szCs w:val="20"/>
          <w:lang w:val="uk-UA"/>
        </w:rPr>
        <w:t>У цьому контексті актуальності набирає питання саме аналізу наявних моделей оцінки фінансової безпеки банків і банківської системи, а також розробки нових методів і моделей з урахуванням наслідків кризових явищ у в</w:t>
      </w:r>
      <w:r w:rsidR="0078474E" w:rsidRPr="0078474E">
        <w:rPr>
          <w:rFonts w:eastAsia="Times New Roman"/>
          <w:sz w:val="20"/>
          <w:szCs w:val="20"/>
          <w:lang w:val="uk-UA"/>
        </w:rPr>
        <w:t>ітчизняній економіці і</w:t>
      </w:r>
      <w:r w:rsidRPr="0078474E">
        <w:rPr>
          <w:rFonts w:eastAsia="Times New Roman"/>
          <w:sz w:val="20"/>
          <w:szCs w:val="20"/>
          <w:lang w:val="uk-UA"/>
        </w:rPr>
        <w:t xml:space="preserve"> війни.</w:t>
      </w:r>
    </w:p>
    <w:p w:rsidR="009134EA" w:rsidRPr="0078474E" w:rsidRDefault="009134EA">
      <w:pPr>
        <w:spacing w:line="14" w:lineRule="exact"/>
        <w:rPr>
          <w:sz w:val="24"/>
          <w:szCs w:val="24"/>
          <w:lang w:val="uk-UA"/>
        </w:rPr>
      </w:pPr>
    </w:p>
    <w:p w:rsidR="009134EA" w:rsidRPr="00F85822" w:rsidRDefault="00F67BF6" w:rsidP="00F85822">
      <w:pPr>
        <w:spacing w:line="221" w:lineRule="auto"/>
        <w:ind w:left="10" w:firstLine="283"/>
        <w:jc w:val="both"/>
        <w:rPr>
          <w:sz w:val="20"/>
          <w:szCs w:val="20"/>
        </w:rPr>
      </w:pPr>
      <w:r w:rsidRPr="00241FCD">
        <w:rPr>
          <w:rFonts w:eastAsia="Times New Roman"/>
          <w:sz w:val="20"/>
          <w:szCs w:val="20"/>
          <w:lang w:val="uk-UA"/>
        </w:rPr>
        <w:t xml:space="preserve">Проблематика аналізу рівня фінансової безпеки банків і банківської системи у вітчизняній і зарубіжній науковій літературі є недостатньо розробленою, оскільки не має єдиного вектора підходів до розгляду безпеки банківської діяльності та основних її складових. У більшості наукових праць і розробок увага приділяється аналізу більш ширшої економічної категорії, а саме економічної безпеки банку чи банківської системи загалом. </w:t>
      </w:r>
      <w:r w:rsidR="00B6133D" w:rsidRPr="00B6133D">
        <w:rPr>
          <w:rFonts w:eastAsia="Times New Roman"/>
          <w:sz w:val="20"/>
          <w:szCs w:val="20"/>
          <w:lang w:val="uk-UA"/>
        </w:rPr>
        <w:t xml:space="preserve">Однак, </w:t>
      </w:r>
      <w:r w:rsidRPr="00B6133D">
        <w:rPr>
          <w:rFonts w:eastAsia="Times New Roman"/>
          <w:sz w:val="20"/>
          <w:szCs w:val="20"/>
          <w:lang w:val="uk-UA"/>
        </w:rPr>
        <w:t xml:space="preserve">виходячи з фундаментальних характеристик банків як фінансових посередників і фінансових підприємств, головною метою яких є отримання прибутку, основною опорою безпеки банку має бути саме фінансова, а не економічна. </w:t>
      </w:r>
      <w:proofErr w:type="spellStart"/>
      <w:r>
        <w:rPr>
          <w:rFonts w:eastAsia="Times New Roman"/>
          <w:sz w:val="20"/>
          <w:szCs w:val="20"/>
        </w:rPr>
        <w:t>Економічна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безпека</w:t>
      </w:r>
      <w:proofErr w:type="spellEnd"/>
      <w:r>
        <w:rPr>
          <w:rFonts w:eastAsia="Times New Roman"/>
          <w:sz w:val="20"/>
          <w:szCs w:val="20"/>
        </w:rPr>
        <w:t xml:space="preserve"> як </w:t>
      </w:r>
      <w:proofErr w:type="spellStart"/>
      <w:r>
        <w:rPr>
          <w:rFonts w:eastAsia="Times New Roman"/>
          <w:sz w:val="20"/>
          <w:szCs w:val="20"/>
        </w:rPr>
        <w:t>економічна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категорія</w:t>
      </w:r>
      <w:proofErr w:type="spellEnd"/>
      <w:r>
        <w:rPr>
          <w:rFonts w:eastAsia="Times New Roman"/>
          <w:sz w:val="20"/>
          <w:szCs w:val="20"/>
        </w:rPr>
        <w:t xml:space="preserve"> та </w:t>
      </w:r>
      <w:proofErr w:type="spellStart"/>
      <w:r>
        <w:rPr>
          <w:rFonts w:eastAsia="Times New Roman"/>
          <w:sz w:val="20"/>
          <w:szCs w:val="20"/>
        </w:rPr>
        <w:t>науковий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термін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більш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eastAsia="Times New Roman"/>
          <w:sz w:val="20"/>
          <w:szCs w:val="20"/>
        </w:rPr>
        <w:t>доц</w:t>
      </w:r>
      <w:proofErr w:type="gramEnd"/>
      <w:r>
        <w:rPr>
          <w:rFonts w:eastAsia="Times New Roman"/>
          <w:sz w:val="20"/>
          <w:szCs w:val="20"/>
        </w:rPr>
        <w:t>ільно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вживати</w:t>
      </w:r>
      <w:proofErr w:type="spellEnd"/>
      <w:r>
        <w:rPr>
          <w:rFonts w:eastAsia="Times New Roman"/>
          <w:sz w:val="20"/>
          <w:szCs w:val="20"/>
        </w:rPr>
        <w:t xml:space="preserve"> для </w:t>
      </w:r>
      <w:proofErr w:type="spellStart"/>
      <w:r>
        <w:rPr>
          <w:rFonts w:eastAsia="Times New Roman"/>
          <w:sz w:val="20"/>
          <w:szCs w:val="20"/>
        </w:rPr>
        <w:t>аналізу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безпеки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підприємств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оскільки</w:t>
      </w:r>
      <w:proofErr w:type="spellEnd"/>
      <w:r>
        <w:rPr>
          <w:rFonts w:eastAsia="Times New Roman"/>
          <w:sz w:val="20"/>
          <w:szCs w:val="20"/>
        </w:rPr>
        <w:t xml:space="preserve"> вони є </w:t>
      </w:r>
      <w:proofErr w:type="spellStart"/>
      <w:r>
        <w:rPr>
          <w:rFonts w:eastAsia="Times New Roman"/>
          <w:sz w:val="20"/>
          <w:szCs w:val="20"/>
        </w:rPr>
        <w:t>складовими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економічної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системи</w:t>
      </w:r>
      <w:proofErr w:type="spellEnd"/>
      <w:r>
        <w:rPr>
          <w:rFonts w:eastAsia="Times New Roman"/>
          <w:sz w:val="20"/>
          <w:szCs w:val="20"/>
        </w:rPr>
        <w:t xml:space="preserve"> та не </w:t>
      </w:r>
      <w:proofErr w:type="spellStart"/>
      <w:r>
        <w:rPr>
          <w:rFonts w:eastAsia="Times New Roman"/>
          <w:sz w:val="20"/>
          <w:szCs w:val="20"/>
        </w:rPr>
        <w:t>входять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або</w:t>
      </w:r>
      <w:proofErr w:type="spellEnd"/>
      <w:r>
        <w:rPr>
          <w:rFonts w:eastAsia="Times New Roman"/>
          <w:sz w:val="20"/>
          <w:szCs w:val="20"/>
        </w:rPr>
        <w:t xml:space="preserve"> не </w:t>
      </w:r>
      <w:proofErr w:type="spellStart"/>
      <w:r>
        <w:rPr>
          <w:rFonts w:eastAsia="Times New Roman"/>
          <w:sz w:val="20"/>
          <w:szCs w:val="20"/>
        </w:rPr>
        <w:t>формують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інших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централізованих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підсистем</w:t>
      </w:r>
      <w:proofErr w:type="spellEnd"/>
      <w:r>
        <w:rPr>
          <w:rFonts w:eastAsia="Times New Roman"/>
          <w:sz w:val="20"/>
          <w:szCs w:val="20"/>
        </w:rPr>
        <w:t xml:space="preserve">, як </w:t>
      </w:r>
      <w:proofErr w:type="spellStart"/>
      <w:r>
        <w:rPr>
          <w:rFonts w:eastAsia="Times New Roman"/>
          <w:sz w:val="20"/>
          <w:szCs w:val="20"/>
        </w:rPr>
        <w:t>це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відбувається</w:t>
      </w:r>
      <w:proofErr w:type="spellEnd"/>
      <w:r w:rsidR="00F85822">
        <w:rPr>
          <w:sz w:val="20"/>
          <w:szCs w:val="20"/>
          <w:lang w:val="uk-UA"/>
        </w:rPr>
        <w:t xml:space="preserve"> у </w:t>
      </w:r>
      <w:proofErr w:type="spellStart"/>
      <w:r>
        <w:rPr>
          <w:rFonts w:eastAsia="Times New Roman"/>
          <w:sz w:val="20"/>
          <w:szCs w:val="20"/>
        </w:rPr>
        <w:t>фінансовому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секторі</w:t>
      </w:r>
      <w:proofErr w:type="spellEnd"/>
      <w:r>
        <w:rPr>
          <w:rFonts w:eastAsia="Times New Roman"/>
          <w:sz w:val="20"/>
          <w:szCs w:val="20"/>
        </w:rPr>
        <w:t xml:space="preserve">, де </w:t>
      </w:r>
      <w:proofErr w:type="spellStart"/>
      <w:r>
        <w:rPr>
          <w:rFonts w:eastAsia="Times New Roman"/>
          <w:sz w:val="20"/>
          <w:szCs w:val="20"/>
        </w:rPr>
        <w:t>фінансова</w:t>
      </w:r>
      <w:proofErr w:type="spellEnd"/>
      <w:r>
        <w:rPr>
          <w:rFonts w:eastAsia="Times New Roman"/>
          <w:sz w:val="20"/>
          <w:szCs w:val="20"/>
        </w:rPr>
        <w:t xml:space="preserve"> система є </w:t>
      </w:r>
      <w:proofErr w:type="spellStart"/>
      <w:r>
        <w:rPr>
          <w:rFonts w:eastAsia="Times New Roman"/>
          <w:sz w:val="20"/>
          <w:szCs w:val="20"/>
        </w:rPr>
        <w:t>підсистемою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економічної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системи</w:t>
      </w:r>
      <w:proofErr w:type="spellEnd"/>
      <w:r>
        <w:rPr>
          <w:rFonts w:eastAsia="Times New Roman"/>
          <w:sz w:val="20"/>
          <w:szCs w:val="20"/>
        </w:rPr>
        <w:t xml:space="preserve">. </w:t>
      </w:r>
      <w:proofErr w:type="spellStart"/>
      <w:r>
        <w:rPr>
          <w:rFonts w:eastAsia="Times New Roman"/>
          <w:sz w:val="20"/>
          <w:szCs w:val="20"/>
        </w:rPr>
        <w:t>Відтак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наукові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пошуки</w:t>
      </w:r>
      <w:proofErr w:type="spellEnd"/>
      <w:r>
        <w:rPr>
          <w:rFonts w:eastAsia="Times New Roman"/>
          <w:sz w:val="20"/>
          <w:szCs w:val="20"/>
        </w:rPr>
        <w:t xml:space="preserve"> у сфері безпеки банків мають зводитися до аналізу саме фінансової безпеки банківської діяльності</w:t>
      </w:r>
    </w:p>
    <w:p w:rsidR="009134EA" w:rsidRDefault="00F67BF6">
      <w:pPr>
        <w:spacing w:line="221" w:lineRule="auto"/>
        <w:ind w:left="10" w:firstLine="28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Виходячи з зазначених позицій, метою </w:t>
      </w:r>
      <w:r w:rsidR="00F85822">
        <w:rPr>
          <w:rFonts w:eastAsia="Times New Roman"/>
          <w:sz w:val="20"/>
          <w:szCs w:val="20"/>
          <w:lang w:val="uk-UA"/>
        </w:rPr>
        <w:t>лекції</w:t>
      </w:r>
      <w:r>
        <w:rPr>
          <w:rFonts w:eastAsia="Times New Roman"/>
          <w:sz w:val="20"/>
          <w:szCs w:val="20"/>
        </w:rPr>
        <w:t xml:space="preserve"> є аналіз наявних методів, моделей і </w:t>
      </w:r>
      <w:proofErr w:type="gramStart"/>
      <w:r>
        <w:rPr>
          <w:rFonts w:eastAsia="Times New Roman"/>
          <w:sz w:val="20"/>
          <w:szCs w:val="20"/>
        </w:rPr>
        <w:t>п</w:t>
      </w:r>
      <w:proofErr w:type="gramEnd"/>
      <w:r>
        <w:rPr>
          <w:rFonts w:eastAsia="Times New Roman"/>
          <w:sz w:val="20"/>
          <w:szCs w:val="20"/>
        </w:rPr>
        <w:t xml:space="preserve">ідходів до оцінки фінансової безпеки банків і банківської системи, а також </w:t>
      </w:r>
      <w:proofErr w:type="spellStart"/>
      <w:r>
        <w:rPr>
          <w:rFonts w:eastAsia="Times New Roman"/>
          <w:sz w:val="20"/>
          <w:szCs w:val="20"/>
        </w:rPr>
        <w:t>формування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методичних</w:t>
      </w:r>
      <w:proofErr w:type="spellEnd"/>
      <w:r>
        <w:rPr>
          <w:rFonts w:eastAsia="Times New Roman"/>
          <w:sz w:val="20"/>
          <w:szCs w:val="20"/>
        </w:rPr>
        <w:t xml:space="preserve"> і </w:t>
      </w:r>
      <w:proofErr w:type="spellStart"/>
      <w:r>
        <w:rPr>
          <w:rFonts w:eastAsia="Times New Roman"/>
          <w:sz w:val="20"/>
          <w:szCs w:val="20"/>
        </w:rPr>
        <w:t>практичних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рекоменд</w:t>
      </w:r>
      <w:r w:rsidR="00F85822">
        <w:rPr>
          <w:rFonts w:eastAsia="Times New Roman"/>
          <w:sz w:val="20"/>
          <w:szCs w:val="20"/>
        </w:rPr>
        <w:t>ацій</w:t>
      </w:r>
      <w:proofErr w:type="spellEnd"/>
      <w:r w:rsidR="00F85822">
        <w:rPr>
          <w:rFonts w:eastAsia="Times New Roman"/>
          <w:sz w:val="20"/>
          <w:szCs w:val="20"/>
        </w:rPr>
        <w:t xml:space="preserve"> </w:t>
      </w:r>
      <w:proofErr w:type="spellStart"/>
      <w:r w:rsidR="00F85822">
        <w:rPr>
          <w:rFonts w:eastAsia="Times New Roman"/>
          <w:sz w:val="20"/>
          <w:szCs w:val="20"/>
        </w:rPr>
        <w:t>щодо</w:t>
      </w:r>
      <w:proofErr w:type="spellEnd"/>
      <w:r w:rsidR="00F85822">
        <w:rPr>
          <w:rFonts w:eastAsia="Times New Roman"/>
          <w:sz w:val="20"/>
          <w:szCs w:val="20"/>
        </w:rPr>
        <w:t xml:space="preserve"> </w:t>
      </w:r>
      <w:proofErr w:type="spellStart"/>
      <w:r w:rsidR="00F85822">
        <w:rPr>
          <w:rFonts w:eastAsia="Times New Roman"/>
          <w:sz w:val="20"/>
          <w:szCs w:val="20"/>
        </w:rPr>
        <w:t>їх</w:t>
      </w:r>
      <w:proofErr w:type="spellEnd"/>
      <w:r w:rsidR="00F85822">
        <w:rPr>
          <w:rFonts w:eastAsia="Times New Roman"/>
          <w:sz w:val="20"/>
          <w:szCs w:val="20"/>
        </w:rPr>
        <w:t xml:space="preserve"> </w:t>
      </w:r>
      <w:proofErr w:type="spellStart"/>
      <w:r w:rsidR="00F85822">
        <w:rPr>
          <w:rFonts w:eastAsia="Times New Roman"/>
          <w:sz w:val="20"/>
          <w:szCs w:val="20"/>
        </w:rPr>
        <w:t>удосконалення</w:t>
      </w:r>
      <w:proofErr w:type="spellEnd"/>
      <w:r w:rsidR="00F85822">
        <w:rPr>
          <w:rFonts w:eastAsia="Times New Roman"/>
          <w:sz w:val="20"/>
          <w:szCs w:val="20"/>
        </w:rPr>
        <w:t xml:space="preserve">, </w:t>
      </w:r>
      <w:proofErr w:type="spellStart"/>
      <w:r w:rsidR="00F85822">
        <w:rPr>
          <w:rFonts w:eastAsia="Times New Roman"/>
          <w:sz w:val="20"/>
          <w:szCs w:val="20"/>
        </w:rPr>
        <w:t>виходячи</w:t>
      </w:r>
      <w:proofErr w:type="spellEnd"/>
      <w:r w:rsidR="00F85822">
        <w:rPr>
          <w:rFonts w:eastAsia="Times New Roman"/>
          <w:sz w:val="20"/>
          <w:szCs w:val="20"/>
          <w:lang w:val="uk-UA"/>
        </w:rPr>
        <w:t xml:space="preserve"> </w:t>
      </w:r>
      <w:r>
        <w:rPr>
          <w:rFonts w:eastAsia="Times New Roman"/>
          <w:sz w:val="20"/>
          <w:szCs w:val="20"/>
        </w:rPr>
        <w:t xml:space="preserve">з </w:t>
      </w:r>
      <w:proofErr w:type="spellStart"/>
      <w:r>
        <w:rPr>
          <w:rFonts w:eastAsia="Times New Roman"/>
          <w:sz w:val="20"/>
          <w:szCs w:val="20"/>
        </w:rPr>
        <w:t>вивчення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наслідків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кризових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явищ</w:t>
      </w:r>
      <w:proofErr w:type="spellEnd"/>
      <w:r>
        <w:rPr>
          <w:rFonts w:eastAsia="Times New Roman"/>
          <w:sz w:val="20"/>
          <w:szCs w:val="20"/>
        </w:rPr>
        <w:t xml:space="preserve"> і </w:t>
      </w:r>
      <w:proofErr w:type="spellStart"/>
      <w:r>
        <w:rPr>
          <w:rFonts w:eastAsia="Times New Roman"/>
          <w:sz w:val="20"/>
          <w:szCs w:val="20"/>
        </w:rPr>
        <w:t>війни</w:t>
      </w:r>
      <w:proofErr w:type="spellEnd"/>
      <w:r>
        <w:rPr>
          <w:rFonts w:eastAsia="Times New Roman"/>
          <w:sz w:val="20"/>
          <w:szCs w:val="20"/>
        </w:rPr>
        <w:t xml:space="preserve"> в </w:t>
      </w:r>
      <w:proofErr w:type="spellStart"/>
      <w:r>
        <w:rPr>
          <w:rFonts w:eastAsia="Times New Roman"/>
          <w:sz w:val="20"/>
          <w:szCs w:val="20"/>
        </w:rPr>
        <w:t>Україні</w:t>
      </w:r>
      <w:proofErr w:type="spellEnd"/>
      <w:r>
        <w:rPr>
          <w:rFonts w:eastAsia="Times New Roman"/>
          <w:sz w:val="20"/>
          <w:szCs w:val="20"/>
        </w:rPr>
        <w:t>.</w:t>
      </w:r>
    </w:p>
    <w:p w:rsidR="009134EA" w:rsidRPr="00F85822" w:rsidRDefault="00F67BF6" w:rsidP="00F85822">
      <w:pPr>
        <w:spacing w:line="221" w:lineRule="auto"/>
        <w:ind w:left="10" w:right="20" w:firstLine="283"/>
        <w:jc w:val="both"/>
        <w:rPr>
          <w:sz w:val="20"/>
          <w:szCs w:val="20"/>
          <w:lang w:val="uk-UA"/>
        </w:rPr>
      </w:pPr>
      <w:r>
        <w:rPr>
          <w:rFonts w:eastAsia="Times New Roman"/>
          <w:sz w:val="20"/>
          <w:szCs w:val="20"/>
        </w:rPr>
        <w:t xml:space="preserve">Як уже </w:t>
      </w:r>
      <w:proofErr w:type="spellStart"/>
      <w:r>
        <w:rPr>
          <w:rFonts w:eastAsia="Times New Roman"/>
          <w:sz w:val="20"/>
          <w:szCs w:val="20"/>
        </w:rPr>
        <w:t>зазначалося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вище</w:t>
      </w:r>
      <w:proofErr w:type="spellEnd"/>
      <w:r>
        <w:rPr>
          <w:rFonts w:eastAsia="Times New Roman"/>
          <w:sz w:val="20"/>
          <w:szCs w:val="20"/>
        </w:rPr>
        <w:t xml:space="preserve">, в </w:t>
      </w:r>
      <w:proofErr w:type="spellStart"/>
      <w:r>
        <w:rPr>
          <w:rFonts w:eastAsia="Times New Roman"/>
          <w:sz w:val="20"/>
          <w:szCs w:val="20"/>
        </w:rPr>
        <w:t>економічній</w:t>
      </w:r>
      <w:proofErr w:type="spellEnd"/>
      <w:r>
        <w:rPr>
          <w:rFonts w:eastAsia="Times New Roman"/>
          <w:sz w:val="20"/>
          <w:szCs w:val="20"/>
        </w:rPr>
        <w:t xml:space="preserve"> літературі немає єдиного </w:t>
      </w:r>
      <w:proofErr w:type="gramStart"/>
      <w:r>
        <w:rPr>
          <w:rFonts w:eastAsia="Times New Roman"/>
          <w:sz w:val="20"/>
          <w:szCs w:val="20"/>
        </w:rPr>
        <w:t>п</w:t>
      </w:r>
      <w:proofErr w:type="gramEnd"/>
      <w:r>
        <w:rPr>
          <w:rFonts w:eastAsia="Times New Roman"/>
          <w:sz w:val="20"/>
          <w:szCs w:val="20"/>
        </w:rPr>
        <w:t xml:space="preserve">ідходу до побудови моделей і </w:t>
      </w:r>
      <w:proofErr w:type="spellStart"/>
      <w:r>
        <w:rPr>
          <w:rFonts w:eastAsia="Times New Roman"/>
          <w:sz w:val="20"/>
          <w:szCs w:val="20"/>
        </w:rPr>
        <w:t>методів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оцінки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безпеки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банків</w:t>
      </w:r>
      <w:proofErr w:type="spellEnd"/>
      <w:r w:rsidR="0078474E">
        <w:rPr>
          <w:rFonts w:eastAsia="Times New Roman"/>
          <w:sz w:val="20"/>
          <w:szCs w:val="20"/>
        </w:rPr>
        <w:t xml:space="preserve">, а </w:t>
      </w:r>
      <w:proofErr w:type="spellStart"/>
      <w:r w:rsidR="0078474E">
        <w:rPr>
          <w:rFonts w:eastAsia="Times New Roman"/>
          <w:sz w:val="20"/>
          <w:szCs w:val="20"/>
        </w:rPr>
        <w:t>більшість</w:t>
      </w:r>
      <w:proofErr w:type="spellEnd"/>
      <w:r w:rsidR="0078474E">
        <w:rPr>
          <w:rFonts w:eastAsia="Times New Roman"/>
          <w:sz w:val="20"/>
          <w:szCs w:val="20"/>
        </w:rPr>
        <w:t xml:space="preserve"> </w:t>
      </w:r>
      <w:proofErr w:type="spellStart"/>
      <w:r w:rsidR="0078474E">
        <w:rPr>
          <w:rFonts w:eastAsia="Times New Roman"/>
          <w:sz w:val="20"/>
          <w:szCs w:val="20"/>
        </w:rPr>
        <w:t>цих</w:t>
      </w:r>
      <w:proofErr w:type="spellEnd"/>
      <w:r w:rsidR="0078474E">
        <w:rPr>
          <w:rFonts w:eastAsia="Times New Roman"/>
          <w:sz w:val="20"/>
          <w:szCs w:val="20"/>
        </w:rPr>
        <w:t xml:space="preserve"> </w:t>
      </w:r>
      <w:proofErr w:type="spellStart"/>
      <w:r w:rsidR="0078474E">
        <w:rPr>
          <w:rFonts w:eastAsia="Times New Roman"/>
          <w:sz w:val="20"/>
          <w:szCs w:val="20"/>
        </w:rPr>
        <w:t>підходів</w:t>
      </w:r>
      <w:proofErr w:type="spellEnd"/>
      <w:r w:rsidR="0078474E">
        <w:rPr>
          <w:rFonts w:eastAsia="Times New Roman"/>
          <w:sz w:val="20"/>
          <w:szCs w:val="20"/>
        </w:rPr>
        <w:t xml:space="preserve"> </w:t>
      </w:r>
      <w:proofErr w:type="spellStart"/>
      <w:r w:rsidR="0078474E">
        <w:rPr>
          <w:rFonts w:eastAsia="Times New Roman"/>
          <w:sz w:val="20"/>
          <w:szCs w:val="20"/>
        </w:rPr>
        <w:t>зво</w:t>
      </w:r>
      <w:r>
        <w:rPr>
          <w:rFonts w:eastAsia="Times New Roman"/>
          <w:sz w:val="20"/>
          <w:szCs w:val="20"/>
        </w:rPr>
        <w:t>диться</w:t>
      </w:r>
      <w:proofErr w:type="spellEnd"/>
      <w:r>
        <w:rPr>
          <w:rFonts w:eastAsia="Times New Roman"/>
          <w:sz w:val="20"/>
          <w:szCs w:val="20"/>
        </w:rPr>
        <w:t xml:space="preserve"> до </w:t>
      </w:r>
      <w:proofErr w:type="spellStart"/>
      <w:r>
        <w:rPr>
          <w:rFonts w:eastAsia="Times New Roman"/>
          <w:sz w:val="20"/>
          <w:szCs w:val="20"/>
        </w:rPr>
        <w:t>оцінки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економічної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безпеки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банківської</w:t>
      </w:r>
      <w:proofErr w:type="spellEnd"/>
      <w:r>
        <w:rPr>
          <w:rFonts w:eastAsia="Times New Roman"/>
          <w:sz w:val="20"/>
          <w:szCs w:val="20"/>
        </w:rPr>
        <w:t xml:space="preserve"> діяльності. Однак, аналізуючи наявні підходи до оцінки рівня економічної та фінансової безпеки банків і банківської системи, варто зауважити, що вони є досить подібними та часто включають в себе одні і ті ж показники, оскільки на етапі аналізу поняття економічної та фінансової безпеки банків є над</w:t>
      </w:r>
      <w:r w:rsidR="00F85822">
        <w:rPr>
          <w:rFonts w:eastAsia="Times New Roman"/>
          <w:sz w:val="20"/>
          <w:szCs w:val="20"/>
        </w:rPr>
        <w:t xml:space="preserve">то розмитими. </w:t>
      </w:r>
      <w:proofErr w:type="spellStart"/>
      <w:r w:rsidR="00F85822">
        <w:rPr>
          <w:rFonts w:eastAsia="Times New Roman"/>
          <w:sz w:val="20"/>
          <w:szCs w:val="20"/>
        </w:rPr>
        <w:t>Передусім</w:t>
      </w:r>
      <w:proofErr w:type="spellEnd"/>
      <w:r w:rsidR="00F85822">
        <w:rPr>
          <w:rFonts w:eastAsia="Times New Roman"/>
          <w:sz w:val="20"/>
          <w:szCs w:val="20"/>
        </w:rPr>
        <w:t xml:space="preserve"> </w:t>
      </w:r>
      <w:proofErr w:type="spellStart"/>
      <w:r w:rsidR="00F85822">
        <w:rPr>
          <w:rFonts w:eastAsia="Times New Roman"/>
          <w:sz w:val="20"/>
          <w:szCs w:val="20"/>
        </w:rPr>
        <w:t>така</w:t>
      </w:r>
      <w:proofErr w:type="spellEnd"/>
      <w:r w:rsidR="00F85822">
        <w:rPr>
          <w:rFonts w:eastAsia="Times New Roman"/>
          <w:sz w:val="20"/>
          <w:szCs w:val="20"/>
        </w:rPr>
        <w:t xml:space="preserve"> </w:t>
      </w:r>
      <w:r w:rsidR="00F85822">
        <w:rPr>
          <w:rFonts w:eastAsia="Times New Roman"/>
          <w:sz w:val="20"/>
          <w:szCs w:val="20"/>
          <w:lang w:val="uk-UA"/>
        </w:rPr>
        <w:t xml:space="preserve">ситуація </w:t>
      </w:r>
      <w:r w:rsidRPr="00F85822">
        <w:rPr>
          <w:rFonts w:eastAsia="Times New Roman"/>
          <w:sz w:val="20"/>
          <w:szCs w:val="20"/>
          <w:lang w:val="uk-UA"/>
        </w:rPr>
        <w:t xml:space="preserve">виникає тому, що майже усі кількісні показники діяльності банків мають фінансову складову, оскільки банк є фінансовим </w:t>
      </w:r>
      <w:proofErr w:type="gramStart"/>
      <w:r w:rsidRPr="00F85822">
        <w:rPr>
          <w:rFonts w:eastAsia="Times New Roman"/>
          <w:sz w:val="20"/>
          <w:szCs w:val="20"/>
          <w:lang w:val="uk-UA"/>
        </w:rPr>
        <w:t>п</w:t>
      </w:r>
      <w:proofErr w:type="gramEnd"/>
      <w:r w:rsidRPr="00F85822">
        <w:rPr>
          <w:rFonts w:eastAsia="Times New Roman"/>
          <w:sz w:val="20"/>
          <w:szCs w:val="20"/>
          <w:lang w:val="uk-UA"/>
        </w:rPr>
        <w:t>ідприєм</w:t>
      </w:r>
      <w:r w:rsidR="00F85822">
        <w:rPr>
          <w:rFonts w:eastAsia="Times New Roman"/>
          <w:sz w:val="20"/>
          <w:szCs w:val="20"/>
          <w:lang w:val="uk-UA"/>
        </w:rPr>
        <w:t>ством, робота якого ґрунтується</w:t>
      </w:r>
      <w:r w:rsidRPr="00F85822">
        <w:rPr>
          <w:rFonts w:eastAsia="Times New Roman"/>
          <w:sz w:val="20"/>
          <w:szCs w:val="20"/>
          <w:lang w:val="uk-UA"/>
        </w:rPr>
        <w:t xml:space="preserve"> на операціях фінансового характеру з грошовими коштами.</w:t>
      </w:r>
    </w:p>
    <w:p w:rsidR="009134EA" w:rsidRPr="00F85822" w:rsidRDefault="009134EA">
      <w:pPr>
        <w:spacing w:line="1" w:lineRule="exact"/>
        <w:rPr>
          <w:sz w:val="20"/>
          <w:szCs w:val="20"/>
          <w:lang w:val="uk-UA"/>
        </w:rPr>
      </w:pPr>
    </w:p>
    <w:p w:rsidR="00F85822" w:rsidRDefault="00F67BF6">
      <w:pPr>
        <w:ind w:left="10" w:right="20" w:firstLine="283"/>
        <w:jc w:val="both"/>
        <w:rPr>
          <w:rFonts w:eastAsia="Times New Roman"/>
          <w:sz w:val="20"/>
          <w:szCs w:val="20"/>
          <w:lang w:val="uk-UA"/>
        </w:rPr>
      </w:pPr>
      <w:proofErr w:type="spellStart"/>
      <w:r>
        <w:rPr>
          <w:rFonts w:eastAsia="Times New Roman"/>
          <w:sz w:val="20"/>
          <w:szCs w:val="20"/>
        </w:rPr>
        <w:t>Визначення</w:t>
      </w:r>
      <w:proofErr w:type="spellEnd"/>
      <w:r>
        <w:rPr>
          <w:rFonts w:eastAsia="Times New Roman"/>
          <w:sz w:val="20"/>
          <w:szCs w:val="20"/>
        </w:rPr>
        <w:t xml:space="preserve"> проблем і </w:t>
      </w:r>
      <w:proofErr w:type="spellStart"/>
      <w:r>
        <w:rPr>
          <w:rFonts w:eastAsia="Times New Roman"/>
          <w:sz w:val="20"/>
          <w:szCs w:val="20"/>
        </w:rPr>
        <w:t>недоліків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gramStart"/>
      <w:r>
        <w:rPr>
          <w:rFonts w:eastAsia="Times New Roman"/>
          <w:sz w:val="20"/>
          <w:szCs w:val="20"/>
        </w:rPr>
        <w:t>в</w:t>
      </w:r>
      <w:proofErr w:type="gram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наявних</w:t>
      </w:r>
      <w:proofErr w:type="spellEnd"/>
      <w:r w:rsidR="00F85822">
        <w:rPr>
          <w:rFonts w:eastAsia="Times New Roman"/>
          <w:sz w:val="20"/>
          <w:szCs w:val="20"/>
        </w:rPr>
        <w:t xml:space="preserve"> моделях </w:t>
      </w:r>
      <w:proofErr w:type="spellStart"/>
      <w:r w:rsidR="00F85822">
        <w:rPr>
          <w:rFonts w:eastAsia="Times New Roman"/>
          <w:sz w:val="20"/>
          <w:szCs w:val="20"/>
        </w:rPr>
        <w:t>оцінки</w:t>
      </w:r>
      <w:proofErr w:type="spellEnd"/>
      <w:r w:rsidR="00F85822">
        <w:rPr>
          <w:rFonts w:eastAsia="Times New Roman"/>
          <w:sz w:val="20"/>
          <w:szCs w:val="20"/>
        </w:rPr>
        <w:t xml:space="preserve"> </w:t>
      </w:r>
      <w:proofErr w:type="spellStart"/>
      <w:r w:rsidR="00F85822">
        <w:rPr>
          <w:rFonts w:eastAsia="Times New Roman"/>
          <w:sz w:val="20"/>
          <w:szCs w:val="20"/>
        </w:rPr>
        <w:t>фінансової</w:t>
      </w:r>
      <w:proofErr w:type="spellEnd"/>
      <w:r w:rsidR="00F85822">
        <w:rPr>
          <w:rFonts w:eastAsia="Times New Roman"/>
          <w:sz w:val="20"/>
          <w:szCs w:val="20"/>
        </w:rPr>
        <w:t xml:space="preserve"> </w:t>
      </w:r>
      <w:proofErr w:type="spellStart"/>
      <w:r w:rsidR="00F85822">
        <w:rPr>
          <w:rFonts w:eastAsia="Times New Roman"/>
          <w:sz w:val="20"/>
          <w:szCs w:val="20"/>
        </w:rPr>
        <w:t>без</w:t>
      </w:r>
      <w:r>
        <w:rPr>
          <w:rFonts w:eastAsia="Times New Roman"/>
          <w:sz w:val="20"/>
          <w:szCs w:val="20"/>
        </w:rPr>
        <w:t>пеки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банків</w:t>
      </w:r>
      <w:proofErr w:type="spellEnd"/>
      <w:r>
        <w:rPr>
          <w:rFonts w:eastAsia="Times New Roman"/>
          <w:sz w:val="20"/>
          <w:szCs w:val="20"/>
        </w:rPr>
        <w:t xml:space="preserve"> і </w:t>
      </w:r>
      <w:proofErr w:type="spellStart"/>
      <w:r>
        <w:rPr>
          <w:rFonts w:eastAsia="Times New Roman"/>
          <w:sz w:val="20"/>
          <w:szCs w:val="20"/>
        </w:rPr>
        <w:t>банківської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системи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загалом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потребує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групування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цих</w:t>
      </w:r>
      <w:proofErr w:type="spellEnd"/>
      <w:r>
        <w:rPr>
          <w:rFonts w:eastAsia="Times New Roman"/>
          <w:sz w:val="20"/>
          <w:szCs w:val="20"/>
        </w:rPr>
        <w:t xml:space="preserve"> методик за </w:t>
      </w:r>
      <w:proofErr w:type="spellStart"/>
      <w:r>
        <w:rPr>
          <w:rFonts w:eastAsia="Times New Roman"/>
          <w:sz w:val="20"/>
          <w:szCs w:val="20"/>
        </w:rPr>
        <w:t>певними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групами</w:t>
      </w:r>
      <w:proofErr w:type="spellEnd"/>
      <w:r>
        <w:rPr>
          <w:rFonts w:eastAsia="Times New Roman"/>
          <w:sz w:val="20"/>
          <w:szCs w:val="20"/>
        </w:rPr>
        <w:t>.</w:t>
      </w:r>
    </w:p>
    <w:p w:rsidR="00F85822" w:rsidRDefault="00F67BF6">
      <w:pPr>
        <w:ind w:left="10" w:right="20" w:firstLine="283"/>
        <w:jc w:val="both"/>
        <w:rPr>
          <w:rFonts w:eastAsia="Times New Roman"/>
          <w:sz w:val="20"/>
          <w:szCs w:val="20"/>
          <w:lang w:val="uk-UA"/>
        </w:rPr>
      </w:pPr>
      <w:r w:rsidRPr="00F85822">
        <w:rPr>
          <w:rFonts w:eastAsia="Times New Roman"/>
          <w:sz w:val="20"/>
          <w:szCs w:val="20"/>
          <w:lang w:val="uk-UA"/>
        </w:rPr>
        <w:t xml:space="preserve"> Серед таких груп, виходячи </w:t>
      </w:r>
      <w:r w:rsidR="00F85822">
        <w:rPr>
          <w:rFonts w:eastAsia="Times New Roman"/>
          <w:sz w:val="20"/>
          <w:szCs w:val="20"/>
          <w:lang w:val="uk-UA"/>
        </w:rPr>
        <w:t>з аналізу широкого кола еконо</w:t>
      </w:r>
      <w:r w:rsidRPr="00F85822">
        <w:rPr>
          <w:rFonts w:eastAsia="Times New Roman"/>
          <w:sz w:val="20"/>
          <w:szCs w:val="20"/>
          <w:lang w:val="uk-UA"/>
        </w:rPr>
        <w:t>мічної літератури, варто виділити такі</w:t>
      </w:r>
      <w:r w:rsidR="0078474E">
        <w:rPr>
          <w:rFonts w:eastAsia="Times New Roman"/>
          <w:sz w:val="20"/>
          <w:szCs w:val="20"/>
          <w:lang w:val="uk-UA"/>
        </w:rPr>
        <w:t xml:space="preserve"> </w:t>
      </w:r>
      <w:r w:rsidR="0078474E" w:rsidRPr="00F85822">
        <w:rPr>
          <w:rFonts w:eastAsia="Times New Roman"/>
          <w:sz w:val="20"/>
          <w:szCs w:val="20"/>
          <w:lang w:val="uk-UA"/>
        </w:rPr>
        <w:t xml:space="preserve">(табл. </w:t>
      </w:r>
      <w:r w:rsidR="0078474E">
        <w:rPr>
          <w:rFonts w:eastAsia="Times New Roman"/>
          <w:sz w:val="20"/>
          <w:szCs w:val="20"/>
        </w:rPr>
        <w:t>1)</w:t>
      </w:r>
      <w:r w:rsidRPr="00F85822">
        <w:rPr>
          <w:rFonts w:eastAsia="Times New Roman"/>
          <w:sz w:val="20"/>
          <w:szCs w:val="20"/>
          <w:lang w:val="uk-UA"/>
        </w:rPr>
        <w:t>:</w:t>
      </w:r>
    </w:p>
    <w:p w:rsidR="00F85822" w:rsidRDefault="00F67BF6">
      <w:pPr>
        <w:ind w:left="10" w:right="20" w:firstLine="283"/>
        <w:jc w:val="both"/>
        <w:rPr>
          <w:rFonts w:eastAsia="Times New Roman"/>
          <w:sz w:val="20"/>
          <w:szCs w:val="20"/>
          <w:lang w:val="uk-UA"/>
        </w:rPr>
      </w:pPr>
      <w:r w:rsidRPr="00F85822">
        <w:rPr>
          <w:rFonts w:eastAsia="Times New Roman"/>
          <w:sz w:val="20"/>
          <w:szCs w:val="20"/>
          <w:lang w:val="uk-UA"/>
        </w:rPr>
        <w:t xml:space="preserve"> 1) методи та моделі, що ґрунтуються на використанні економічних нормативів як основних критеріїв; </w:t>
      </w:r>
    </w:p>
    <w:p w:rsidR="00F85822" w:rsidRDefault="00F85822">
      <w:pPr>
        <w:ind w:left="10" w:right="20" w:firstLine="283"/>
        <w:jc w:val="both"/>
        <w:rPr>
          <w:rFonts w:eastAsia="Times New Roman"/>
          <w:sz w:val="20"/>
          <w:szCs w:val="20"/>
          <w:lang w:val="uk-UA"/>
        </w:rPr>
      </w:pPr>
      <w:r>
        <w:rPr>
          <w:rFonts w:eastAsia="Times New Roman"/>
          <w:sz w:val="20"/>
          <w:szCs w:val="20"/>
          <w:lang w:val="uk-UA"/>
        </w:rPr>
        <w:t>2) метод коефі</w:t>
      </w:r>
      <w:r w:rsidR="00F67BF6" w:rsidRPr="00F85822">
        <w:rPr>
          <w:rFonts w:eastAsia="Times New Roman"/>
          <w:sz w:val="20"/>
          <w:szCs w:val="20"/>
          <w:lang w:val="uk-UA"/>
        </w:rPr>
        <w:t xml:space="preserve">цієнтів і показників; </w:t>
      </w:r>
    </w:p>
    <w:p w:rsidR="00F85822" w:rsidRDefault="00F67BF6">
      <w:pPr>
        <w:ind w:left="10" w:right="20" w:firstLine="283"/>
        <w:jc w:val="both"/>
        <w:rPr>
          <w:rFonts w:eastAsia="Times New Roman"/>
          <w:sz w:val="20"/>
          <w:szCs w:val="20"/>
          <w:lang w:val="uk-UA"/>
        </w:rPr>
      </w:pPr>
      <w:r w:rsidRPr="00F85822">
        <w:rPr>
          <w:rFonts w:eastAsia="Times New Roman"/>
          <w:sz w:val="20"/>
          <w:szCs w:val="20"/>
          <w:lang w:val="uk-UA"/>
        </w:rPr>
        <w:t xml:space="preserve">3) метод економіко-математичного моделювання; </w:t>
      </w:r>
    </w:p>
    <w:p w:rsidR="009134EA" w:rsidRDefault="00F67BF6">
      <w:pPr>
        <w:ind w:left="10" w:right="20" w:firstLine="283"/>
        <w:jc w:val="both"/>
        <w:rPr>
          <w:rFonts w:eastAsia="Times New Roman"/>
          <w:sz w:val="20"/>
          <w:szCs w:val="20"/>
          <w:lang w:val="uk-UA"/>
        </w:rPr>
      </w:pPr>
      <w:r w:rsidRPr="00F85822">
        <w:rPr>
          <w:rFonts w:eastAsia="Times New Roman"/>
          <w:sz w:val="20"/>
          <w:szCs w:val="20"/>
          <w:lang w:val="uk-UA"/>
        </w:rPr>
        <w:t>4) методи експертних оцінок</w:t>
      </w:r>
      <w:r w:rsidR="0078474E">
        <w:rPr>
          <w:rFonts w:eastAsia="Times New Roman"/>
          <w:sz w:val="20"/>
          <w:szCs w:val="20"/>
          <w:lang w:val="uk-UA"/>
        </w:rPr>
        <w:t>.</w:t>
      </w:r>
      <w:r w:rsidRPr="00F85822">
        <w:rPr>
          <w:rFonts w:eastAsia="Times New Roman"/>
          <w:sz w:val="20"/>
          <w:szCs w:val="20"/>
          <w:lang w:val="uk-UA"/>
        </w:rPr>
        <w:t xml:space="preserve"> </w:t>
      </w:r>
    </w:p>
    <w:p w:rsidR="00F85822" w:rsidRDefault="00F85822">
      <w:pPr>
        <w:ind w:left="10" w:right="20" w:firstLine="283"/>
        <w:jc w:val="both"/>
        <w:rPr>
          <w:sz w:val="20"/>
          <w:szCs w:val="20"/>
          <w:lang w:val="uk-UA"/>
        </w:rPr>
      </w:pPr>
    </w:p>
    <w:p w:rsidR="005471EF" w:rsidRDefault="005471EF">
      <w:pPr>
        <w:ind w:left="10" w:right="20" w:firstLine="283"/>
        <w:jc w:val="both"/>
        <w:rPr>
          <w:sz w:val="20"/>
          <w:szCs w:val="20"/>
          <w:lang w:val="uk-UA"/>
        </w:rPr>
      </w:pPr>
    </w:p>
    <w:p w:rsidR="005471EF" w:rsidRDefault="005471EF">
      <w:pPr>
        <w:ind w:left="10" w:right="20" w:firstLine="283"/>
        <w:jc w:val="both"/>
        <w:rPr>
          <w:sz w:val="20"/>
          <w:szCs w:val="20"/>
          <w:lang w:val="uk-UA"/>
        </w:rPr>
      </w:pPr>
    </w:p>
    <w:p w:rsidR="005471EF" w:rsidRDefault="005471EF">
      <w:pPr>
        <w:ind w:left="10" w:right="20" w:firstLine="283"/>
        <w:jc w:val="both"/>
        <w:rPr>
          <w:sz w:val="20"/>
          <w:szCs w:val="20"/>
          <w:lang w:val="uk-UA"/>
        </w:rPr>
      </w:pPr>
    </w:p>
    <w:p w:rsidR="005471EF" w:rsidRDefault="005471EF">
      <w:pPr>
        <w:ind w:left="10" w:right="20" w:firstLine="283"/>
        <w:jc w:val="both"/>
        <w:rPr>
          <w:sz w:val="20"/>
          <w:szCs w:val="20"/>
          <w:lang w:val="uk-UA"/>
        </w:rPr>
      </w:pPr>
    </w:p>
    <w:p w:rsidR="005471EF" w:rsidRDefault="005471EF">
      <w:pPr>
        <w:ind w:left="10" w:right="20" w:firstLine="283"/>
        <w:jc w:val="both"/>
        <w:rPr>
          <w:sz w:val="20"/>
          <w:szCs w:val="20"/>
          <w:lang w:val="uk-UA"/>
        </w:rPr>
      </w:pPr>
    </w:p>
    <w:p w:rsidR="005471EF" w:rsidRPr="00F85822" w:rsidRDefault="005471EF">
      <w:pPr>
        <w:ind w:left="10" w:right="20" w:firstLine="283"/>
        <w:jc w:val="both"/>
        <w:rPr>
          <w:sz w:val="20"/>
          <w:szCs w:val="20"/>
          <w:lang w:val="uk-UA"/>
        </w:rPr>
      </w:pPr>
    </w:p>
    <w:p w:rsidR="009134EA" w:rsidRPr="00241FCD" w:rsidRDefault="009134EA">
      <w:pPr>
        <w:spacing w:line="180" w:lineRule="exact"/>
        <w:rPr>
          <w:sz w:val="20"/>
          <w:szCs w:val="20"/>
          <w:lang w:val="uk-UA"/>
        </w:rPr>
      </w:pPr>
    </w:p>
    <w:p w:rsidR="009134EA" w:rsidRPr="00241FCD" w:rsidRDefault="00F67BF6">
      <w:pPr>
        <w:ind w:left="6930"/>
        <w:rPr>
          <w:sz w:val="20"/>
          <w:szCs w:val="20"/>
          <w:lang w:val="uk-UA"/>
        </w:rPr>
      </w:pPr>
      <w:r w:rsidRPr="00241FCD">
        <w:rPr>
          <w:rFonts w:eastAsia="Times New Roman"/>
          <w:sz w:val="18"/>
          <w:szCs w:val="18"/>
          <w:lang w:val="uk-UA"/>
        </w:rPr>
        <w:t>Таблиця 1</w:t>
      </w:r>
    </w:p>
    <w:p w:rsidR="009134EA" w:rsidRPr="00241FCD" w:rsidRDefault="00F67BF6">
      <w:pPr>
        <w:ind w:left="490"/>
        <w:rPr>
          <w:sz w:val="20"/>
          <w:szCs w:val="20"/>
          <w:lang w:val="uk-UA"/>
        </w:rPr>
      </w:pPr>
      <w:r w:rsidRPr="00241FCD">
        <w:rPr>
          <w:rFonts w:eastAsia="Times New Roman"/>
          <w:sz w:val="18"/>
          <w:szCs w:val="18"/>
          <w:lang w:val="uk-UA"/>
        </w:rPr>
        <w:lastRenderedPageBreak/>
        <w:t>Методи та моделі оцінки фінансової безпеки банків і банківської системи та їх дослідники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400"/>
        <w:gridCol w:w="1740"/>
        <w:gridCol w:w="1440"/>
        <w:gridCol w:w="1400"/>
        <w:gridCol w:w="1280"/>
        <w:gridCol w:w="30"/>
      </w:tblGrid>
      <w:tr w:rsidR="009134EA">
        <w:trPr>
          <w:trHeight w:val="198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134EA" w:rsidRPr="00241FCD" w:rsidRDefault="009134EA">
            <w:pPr>
              <w:rPr>
                <w:sz w:val="17"/>
                <w:szCs w:val="17"/>
                <w:lang w:val="uk-UA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34EA" w:rsidRDefault="00F67BF6">
            <w:pPr>
              <w:spacing w:line="19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18"/>
                <w:szCs w:val="18"/>
              </w:rPr>
              <w:t>Методи</w:t>
            </w:r>
            <w:proofErr w:type="spellEnd"/>
            <w:r>
              <w:rPr>
                <w:rFonts w:eastAsia="Times New Roman"/>
                <w:w w:val="99"/>
                <w:sz w:val="18"/>
                <w:szCs w:val="18"/>
              </w:rPr>
              <w:t xml:space="preserve"> та </w:t>
            </w:r>
            <w:proofErr w:type="spellStart"/>
            <w:r>
              <w:rPr>
                <w:rFonts w:eastAsia="Times New Roman"/>
                <w:w w:val="99"/>
                <w:sz w:val="18"/>
                <w:szCs w:val="18"/>
              </w:rPr>
              <w:t>мо</w:t>
            </w:r>
            <w:proofErr w:type="spellEnd"/>
            <w:r>
              <w:rPr>
                <w:rFonts w:eastAsia="Times New Roman"/>
                <w:w w:val="99"/>
                <w:sz w:val="18"/>
                <w:szCs w:val="18"/>
              </w:rPr>
              <w:t>-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34EA" w:rsidRDefault="00F67BF6">
            <w:pPr>
              <w:spacing w:line="19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Методи та моделі, що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34EA" w:rsidRDefault="00F67BF6">
            <w:pPr>
              <w:spacing w:line="19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Методи та моделі,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34EA" w:rsidRDefault="00F67BF6">
            <w:pPr>
              <w:spacing w:line="19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Метод економіко-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34EA" w:rsidRDefault="00F67BF6">
            <w:pPr>
              <w:spacing w:line="19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Методи</w:t>
            </w:r>
          </w:p>
        </w:tc>
        <w:tc>
          <w:tcPr>
            <w:tcW w:w="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134EA" w:rsidRDefault="00F67B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делі, що ґрун-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134EA" w:rsidRDefault="00F67B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ґрунтуються на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134EA" w:rsidRDefault="00F67B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що ґрунтуються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134EA" w:rsidRDefault="00F67B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математичного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134EA" w:rsidRDefault="00F67B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експертних</w:t>
            </w:r>
          </w:p>
        </w:tc>
        <w:tc>
          <w:tcPr>
            <w:tcW w:w="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134EA" w:rsidRDefault="00F67B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туються на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134EA" w:rsidRDefault="00F67B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коефіцієнтах і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134EA" w:rsidRDefault="00F67B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на оцінці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134EA" w:rsidRDefault="00F67B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моделювання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134EA" w:rsidRDefault="00F67B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оцінок</w:t>
            </w:r>
          </w:p>
        </w:tc>
        <w:tc>
          <w:tcPr>
            <w:tcW w:w="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>
        <w:trPr>
          <w:trHeight w:val="20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134EA" w:rsidRDefault="00F67B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використанні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134EA" w:rsidRDefault="00F67B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показниках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134EA" w:rsidRDefault="00F67B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банківських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134EA" w:rsidRDefault="00F67B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економічних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134EA" w:rsidRDefault="00F67B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ризиків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>
        <w:trPr>
          <w:trHeight w:val="224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4EA" w:rsidRDefault="00F67B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нормативів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>
        <w:trPr>
          <w:trHeight w:val="18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134EA" w:rsidRDefault="00F67BF6">
            <w:pPr>
              <w:spacing w:line="18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В.І. Гайдук, Н.В.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9134EA" w:rsidRDefault="00F67B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Е.А. Андрєєва [3]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134EA" w:rsidRDefault="00F67B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В.Е. Черенков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134EA" w:rsidRDefault="00F67BF6">
            <w:pPr>
              <w:spacing w:line="1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З. Васильченко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>
        <w:trPr>
          <w:trHeight w:val="10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9134EA" w:rsidRDefault="00F67B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Гайдук, А.Л. Вор</w:t>
            </w: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9134EA" w:rsidRDefault="00F67B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І. Васильченко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>
        <w:trPr>
          <w:trHeight w:val="10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134EA" w:rsidRDefault="00F67B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[10]</w:t>
            </w: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>
        <w:trPr>
          <w:trHeight w:val="13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9134EA" w:rsidRDefault="00F67B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онков [1]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9134EA" w:rsidRDefault="00F67B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[11]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>
        <w:trPr>
          <w:trHeight w:val="9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>
        <w:trPr>
          <w:trHeight w:val="17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9134EA" w:rsidRDefault="00F67BF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А.О. Єпіфанов, О.Л 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134EA" w:rsidRDefault="00F67BF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А.О. Єпіфанов, О.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134EA" w:rsidRDefault="00F67BF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А.О. Єпіфанов,</w:t>
            </w:r>
          </w:p>
        </w:tc>
        <w:tc>
          <w:tcPr>
            <w:tcW w:w="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>
        <w:trPr>
          <w:trHeight w:val="18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134EA" w:rsidRDefault="00F67BF6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І.М. Крупка [2]</w:t>
            </w: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134EA" w:rsidRDefault="00F67BF6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Л. Пластун та ін.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134EA" w:rsidRDefault="00F67BF6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Н. Різник [12]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134EA" w:rsidRDefault="00F67BF6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О.Л. Пластун та</w:t>
            </w:r>
          </w:p>
        </w:tc>
        <w:tc>
          <w:tcPr>
            <w:tcW w:w="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>
        <w:trPr>
          <w:trHeight w:val="20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134EA" w:rsidRDefault="00F67B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Пластун та ін. [4]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134EA" w:rsidRDefault="00F67B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[4]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9134EA" w:rsidRDefault="00F67B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ін. [4]</w:t>
            </w:r>
          </w:p>
        </w:tc>
        <w:tc>
          <w:tcPr>
            <w:tcW w:w="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>
        <w:trPr>
          <w:trHeight w:val="4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>
        <w:trPr>
          <w:trHeight w:val="178"/>
        </w:trPr>
        <w:tc>
          <w:tcPr>
            <w:tcW w:w="44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9134EA" w:rsidRDefault="00F67BF6">
            <w:pPr>
              <w:ind w:left="131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Автори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134EA" w:rsidRDefault="00F67BF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О.М. Колодізєв,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134EA" w:rsidRDefault="00F67BF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О.М. Колодізєв,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>
        <w:trPr>
          <w:trHeight w:val="227"/>
        </w:trPr>
        <w:tc>
          <w:tcPr>
            <w:tcW w:w="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4EA" w:rsidRDefault="00F67B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О.М. Штаєр [5]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4EA" w:rsidRDefault="00F67B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О.М. Штаєр [5]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>
        <w:trPr>
          <w:trHeight w:val="278"/>
        </w:trPr>
        <w:tc>
          <w:tcPr>
            <w:tcW w:w="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134EA" w:rsidRDefault="00F67B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Н.Н. Наточеєва [6]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134EA" w:rsidRDefault="00F67B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В.І. Франчук,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>
        <w:trPr>
          <w:trHeight w:val="12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4EA" w:rsidRDefault="00F67BF6">
            <w:pPr>
              <w:spacing w:line="1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С.І. Мельник [13]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>
        <w:trPr>
          <w:trHeight w:val="19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4EA" w:rsidRDefault="00F67BF6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П.В. Каллаур [7]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4EA" w:rsidRDefault="00F67BF6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П.В. Каллаур [7]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>
        <w:trPr>
          <w:trHeight w:val="19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4EA" w:rsidRDefault="00F67BF6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Г.Ю. Хачатурян [8]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>
        <w:trPr>
          <w:trHeight w:val="17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134EA" w:rsidRDefault="00F67BF6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В.І. Гайдук,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>
        <w:trPr>
          <w:trHeight w:val="20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134EA" w:rsidRDefault="00F67B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Н.В. Гайдук,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>
        <w:trPr>
          <w:trHeight w:val="22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4EA" w:rsidRDefault="00F67B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А. Л. Воронков [1]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>
        <w:trPr>
          <w:trHeight w:val="196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4EA" w:rsidRDefault="00F67BF6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О.І. Барановський [9]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4EA" w:rsidRDefault="009134E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</w:tbl>
    <w:p w:rsidR="009134EA" w:rsidRDefault="009134EA">
      <w:pPr>
        <w:spacing w:line="351" w:lineRule="exact"/>
        <w:rPr>
          <w:sz w:val="20"/>
          <w:szCs w:val="20"/>
        </w:rPr>
      </w:pPr>
    </w:p>
    <w:p w:rsidR="009134EA" w:rsidRDefault="00F67BF6">
      <w:pPr>
        <w:ind w:left="10" w:firstLine="283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Як бачимо з табл. 1, більшість дослідників використовують методи та моделі оцінки рівня фінансової безпеки банків і банківської системи, які ґрунтуються на використанні коефіцієнтів і показників. Варто також зазначити, що всі інші методи, окрім методу експертних оцінок, є взаємопов’язаними з методом показників, оскільки оцінка ризиків і математичні моделі ґрунтуються на певних показниках.</w:t>
      </w:r>
    </w:p>
    <w:p w:rsidR="009134EA" w:rsidRDefault="009134EA">
      <w:pPr>
        <w:spacing w:line="122" w:lineRule="exact"/>
        <w:rPr>
          <w:sz w:val="20"/>
          <w:szCs w:val="20"/>
        </w:rPr>
      </w:pPr>
    </w:p>
    <w:p w:rsidR="009134EA" w:rsidRDefault="00F67BF6">
      <w:pPr>
        <w:ind w:left="10" w:firstLine="283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Що ж стосується методів і моделей, які </w:t>
      </w:r>
      <w:r w:rsidR="00194A72">
        <w:rPr>
          <w:rFonts w:eastAsia="Times New Roman"/>
          <w:sz w:val="20"/>
          <w:szCs w:val="20"/>
        </w:rPr>
        <w:t>ґрунтуються на економічних нор</w:t>
      </w:r>
      <w:r>
        <w:rPr>
          <w:rFonts w:eastAsia="Times New Roman"/>
          <w:sz w:val="20"/>
          <w:szCs w:val="20"/>
        </w:rPr>
        <w:t xml:space="preserve">мативах діяльності банків і банківської системи, то його не варто приймати до уваги, оскільки, як </w:t>
      </w:r>
      <w:proofErr w:type="spellStart"/>
      <w:r>
        <w:rPr>
          <w:rFonts w:eastAsia="Times New Roman"/>
          <w:sz w:val="20"/>
          <w:szCs w:val="20"/>
        </w:rPr>
        <w:t>показує</w:t>
      </w:r>
      <w:proofErr w:type="spellEnd"/>
      <w:r>
        <w:rPr>
          <w:rFonts w:eastAsia="Times New Roman"/>
          <w:sz w:val="20"/>
          <w:szCs w:val="20"/>
        </w:rPr>
        <w:t xml:space="preserve"> практика, </w:t>
      </w:r>
      <w:proofErr w:type="spellStart"/>
      <w:r>
        <w:rPr>
          <w:rFonts w:eastAsia="Times New Roman"/>
          <w:sz w:val="20"/>
          <w:szCs w:val="20"/>
        </w:rPr>
        <w:t>такий</w:t>
      </w:r>
      <w:proofErr w:type="spellEnd"/>
      <w:r>
        <w:rPr>
          <w:rFonts w:eastAsia="Times New Roman"/>
          <w:sz w:val="20"/>
          <w:szCs w:val="20"/>
        </w:rPr>
        <w:t xml:space="preserve"> метод</w:t>
      </w:r>
      <w:r w:rsidR="00194A72">
        <w:rPr>
          <w:rFonts w:eastAsia="Times New Roman"/>
          <w:sz w:val="20"/>
          <w:szCs w:val="20"/>
        </w:rPr>
        <w:t xml:space="preserve"> не </w:t>
      </w:r>
      <w:proofErr w:type="spellStart"/>
      <w:r w:rsidR="00194A72">
        <w:rPr>
          <w:rFonts w:eastAsia="Times New Roman"/>
          <w:sz w:val="20"/>
          <w:szCs w:val="20"/>
        </w:rPr>
        <w:t>може</w:t>
      </w:r>
      <w:proofErr w:type="spellEnd"/>
      <w:r w:rsidR="00194A72">
        <w:rPr>
          <w:rFonts w:eastAsia="Times New Roman"/>
          <w:sz w:val="20"/>
          <w:szCs w:val="20"/>
        </w:rPr>
        <w:t xml:space="preserve"> </w:t>
      </w:r>
      <w:proofErr w:type="spellStart"/>
      <w:r w:rsidR="00194A72">
        <w:rPr>
          <w:rFonts w:eastAsia="Times New Roman"/>
          <w:sz w:val="20"/>
          <w:szCs w:val="20"/>
        </w:rPr>
        <w:t>відобразити</w:t>
      </w:r>
      <w:proofErr w:type="spellEnd"/>
      <w:r w:rsidR="00194A72">
        <w:rPr>
          <w:rFonts w:eastAsia="Times New Roman"/>
          <w:sz w:val="20"/>
          <w:szCs w:val="20"/>
        </w:rPr>
        <w:t xml:space="preserve"> реального</w:t>
      </w:r>
      <w:r w:rsidR="00194A72">
        <w:rPr>
          <w:rFonts w:eastAsia="Times New Roman"/>
          <w:sz w:val="20"/>
          <w:szCs w:val="20"/>
          <w:lang w:val="uk-UA"/>
        </w:rPr>
        <w:t xml:space="preserve"> </w:t>
      </w:r>
      <w:r>
        <w:rPr>
          <w:rFonts w:eastAsia="Times New Roman"/>
          <w:sz w:val="20"/>
          <w:szCs w:val="20"/>
        </w:rPr>
        <w:t xml:space="preserve">стану справ у </w:t>
      </w:r>
      <w:proofErr w:type="spellStart"/>
      <w:r>
        <w:rPr>
          <w:rFonts w:eastAsia="Times New Roman"/>
          <w:sz w:val="20"/>
          <w:szCs w:val="20"/>
        </w:rPr>
        <w:t>банківській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системі</w:t>
      </w:r>
      <w:proofErr w:type="spellEnd"/>
      <w:r>
        <w:rPr>
          <w:rFonts w:eastAsia="Times New Roman"/>
          <w:sz w:val="20"/>
          <w:szCs w:val="20"/>
        </w:rPr>
        <w:t xml:space="preserve">. </w:t>
      </w:r>
      <w:proofErr w:type="spellStart"/>
      <w:proofErr w:type="gramStart"/>
      <w:r>
        <w:rPr>
          <w:rFonts w:eastAsia="Times New Roman"/>
          <w:sz w:val="20"/>
          <w:szCs w:val="20"/>
        </w:rPr>
        <w:t>Це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пов</w:t>
      </w:r>
      <w:proofErr w:type="gramEnd"/>
      <w:r>
        <w:rPr>
          <w:rFonts w:eastAsia="Times New Roman"/>
          <w:sz w:val="20"/>
          <w:szCs w:val="20"/>
        </w:rPr>
        <w:t>’язано</w:t>
      </w:r>
      <w:proofErr w:type="spellEnd"/>
      <w:r w:rsidR="00194A72">
        <w:rPr>
          <w:rFonts w:eastAsia="Times New Roman"/>
          <w:sz w:val="20"/>
          <w:szCs w:val="20"/>
        </w:rPr>
        <w:t xml:space="preserve"> з </w:t>
      </w:r>
      <w:proofErr w:type="spellStart"/>
      <w:r w:rsidR="00194A72">
        <w:rPr>
          <w:rFonts w:eastAsia="Times New Roman"/>
          <w:sz w:val="20"/>
          <w:szCs w:val="20"/>
        </w:rPr>
        <w:t>тим</w:t>
      </w:r>
      <w:proofErr w:type="spellEnd"/>
      <w:r w:rsidR="00194A72">
        <w:rPr>
          <w:rFonts w:eastAsia="Times New Roman"/>
          <w:sz w:val="20"/>
          <w:szCs w:val="20"/>
        </w:rPr>
        <w:t xml:space="preserve">, </w:t>
      </w:r>
      <w:proofErr w:type="spellStart"/>
      <w:r w:rsidR="00194A72">
        <w:rPr>
          <w:rFonts w:eastAsia="Times New Roman"/>
          <w:sz w:val="20"/>
          <w:szCs w:val="20"/>
        </w:rPr>
        <w:t>що</w:t>
      </w:r>
      <w:proofErr w:type="spellEnd"/>
      <w:r w:rsidR="00194A72">
        <w:rPr>
          <w:rFonts w:eastAsia="Times New Roman"/>
          <w:sz w:val="20"/>
          <w:szCs w:val="20"/>
        </w:rPr>
        <w:t xml:space="preserve"> </w:t>
      </w:r>
      <w:proofErr w:type="spellStart"/>
      <w:r w:rsidR="00194A72">
        <w:rPr>
          <w:rFonts w:eastAsia="Times New Roman"/>
          <w:sz w:val="20"/>
          <w:szCs w:val="20"/>
        </w:rPr>
        <w:t>економічні</w:t>
      </w:r>
      <w:proofErr w:type="spellEnd"/>
      <w:r w:rsidR="00194A72">
        <w:rPr>
          <w:rFonts w:eastAsia="Times New Roman"/>
          <w:sz w:val="20"/>
          <w:szCs w:val="20"/>
        </w:rPr>
        <w:t xml:space="preserve"> </w:t>
      </w:r>
      <w:proofErr w:type="spellStart"/>
      <w:r w:rsidR="00194A72">
        <w:rPr>
          <w:rFonts w:eastAsia="Times New Roman"/>
          <w:sz w:val="20"/>
          <w:szCs w:val="20"/>
        </w:rPr>
        <w:t>нормативи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діяльності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банків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побудовані</w:t>
      </w:r>
      <w:proofErr w:type="spellEnd"/>
      <w:r>
        <w:rPr>
          <w:rFonts w:eastAsia="Times New Roman"/>
          <w:sz w:val="20"/>
          <w:szCs w:val="20"/>
        </w:rPr>
        <w:t xml:space="preserve"> для ідеалізованог</w:t>
      </w:r>
      <w:r w:rsidR="00194A72">
        <w:rPr>
          <w:rFonts w:eastAsia="Times New Roman"/>
          <w:sz w:val="20"/>
          <w:szCs w:val="20"/>
        </w:rPr>
        <w:t xml:space="preserve">о банку та не </w:t>
      </w:r>
      <w:proofErr w:type="spellStart"/>
      <w:r w:rsidR="00194A72">
        <w:rPr>
          <w:rFonts w:eastAsia="Times New Roman"/>
          <w:sz w:val="20"/>
          <w:szCs w:val="20"/>
        </w:rPr>
        <w:t>можуть</w:t>
      </w:r>
      <w:proofErr w:type="spellEnd"/>
      <w:r w:rsidR="00194A72">
        <w:rPr>
          <w:rFonts w:eastAsia="Times New Roman"/>
          <w:sz w:val="20"/>
          <w:szCs w:val="20"/>
        </w:rPr>
        <w:t xml:space="preserve"> </w:t>
      </w:r>
      <w:proofErr w:type="spellStart"/>
      <w:r w:rsidR="00194A72">
        <w:rPr>
          <w:rFonts w:eastAsia="Times New Roman"/>
          <w:sz w:val="20"/>
          <w:szCs w:val="20"/>
        </w:rPr>
        <w:t>об’єктивно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відобразити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eastAsia="Times New Roman"/>
          <w:sz w:val="20"/>
          <w:szCs w:val="20"/>
        </w:rPr>
        <w:t>р</w:t>
      </w:r>
      <w:proofErr w:type="gramEnd"/>
      <w:r>
        <w:rPr>
          <w:rFonts w:eastAsia="Times New Roman"/>
          <w:sz w:val="20"/>
          <w:szCs w:val="20"/>
        </w:rPr>
        <w:t>івень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фінансової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безпеки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банків</w:t>
      </w:r>
      <w:proofErr w:type="spellEnd"/>
      <w:r>
        <w:rPr>
          <w:rFonts w:eastAsia="Times New Roman"/>
          <w:sz w:val="20"/>
          <w:szCs w:val="20"/>
        </w:rPr>
        <w:t xml:space="preserve">, </w:t>
      </w:r>
      <w:r w:rsidR="00194A72">
        <w:rPr>
          <w:rFonts w:eastAsia="Times New Roman"/>
          <w:sz w:val="20"/>
          <w:szCs w:val="20"/>
        </w:rPr>
        <w:t xml:space="preserve">а </w:t>
      </w:r>
      <w:proofErr w:type="spellStart"/>
      <w:r w:rsidR="00194A72">
        <w:rPr>
          <w:rFonts w:eastAsia="Times New Roman"/>
          <w:sz w:val="20"/>
          <w:szCs w:val="20"/>
        </w:rPr>
        <w:t>також</w:t>
      </w:r>
      <w:proofErr w:type="spellEnd"/>
      <w:r w:rsidR="00194A72">
        <w:rPr>
          <w:rFonts w:eastAsia="Times New Roman"/>
          <w:sz w:val="20"/>
          <w:szCs w:val="20"/>
        </w:rPr>
        <w:t xml:space="preserve"> </w:t>
      </w:r>
      <w:proofErr w:type="spellStart"/>
      <w:r w:rsidR="00194A72">
        <w:rPr>
          <w:rFonts w:eastAsia="Times New Roman"/>
          <w:sz w:val="20"/>
          <w:szCs w:val="20"/>
        </w:rPr>
        <w:t>їх</w:t>
      </w:r>
      <w:proofErr w:type="spellEnd"/>
      <w:r w:rsidR="00194A72">
        <w:rPr>
          <w:rFonts w:eastAsia="Times New Roman"/>
          <w:sz w:val="20"/>
          <w:szCs w:val="20"/>
        </w:rPr>
        <w:t xml:space="preserve"> </w:t>
      </w:r>
      <w:proofErr w:type="spellStart"/>
      <w:r w:rsidR="00194A72">
        <w:rPr>
          <w:rFonts w:eastAsia="Times New Roman"/>
          <w:sz w:val="20"/>
          <w:szCs w:val="20"/>
        </w:rPr>
        <w:t>фінансової</w:t>
      </w:r>
      <w:proofErr w:type="spellEnd"/>
      <w:r w:rsidR="00194A72">
        <w:rPr>
          <w:rFonts w:eastAsia="Times New Roman"/>
          <w:sz w:val="20"/>
          <w:szCs w:val="20"/>
        </w:rPr>
        <w:t xml:space="preserve"> </w:t>
      </w:r>
      <w:proofErr w:type="spellStart"/>
      <w:r w:rsidR="00194A72">
        <w:rPr>
          <w:rFonts w:eastAsia="Times New Roman"/>
          <w:sz w:val="20"/>
          <w:szCs w:val="20"/>
        </w:rPr>
        <w:t>стійкості</w:t>
      </w:r>
      <w:proofErr w:type="spellEnd"/>
      <w:r>
        <w:rPr>
          <w:rFonts w:eastAsia="Times New Roman"/>
          <w:sz w:val="20"/>
          <w:szCs w:val="20"/>
        </w:rPr>
        <w:t>. Тому</w:t>
      </w:r>
      <w:r w:rsidR="0087002E">
        <w:rPr>
          <w:rFonts w:eastAsia="Times New Roman"/>
          <w:sz w:val="20"/>
          <w:szCs w:val="20"/>
          <w:lang w:val="uk-UA"/>
        </w:rPr>
        <w:t xml:space="preserve"> </w:t>
      </w:r>
      <w:r>
        <w:rPr>
          <w:rFonts w:eastAsia="Times New Roman"/>
          <w:sz w:val="20"/>
          <w:szCs w:val="20"/>
        </w:rPr>
        <w:t xml:space="preserve">для </w:t>
      </w:r>
      <w:proofErr w:type="spellStart"/>
      <w:r>
        <w:rPr>
          <w:rFonts w:eastAsia="Times New Roman"/>
          <w:sz w:val="20"/>
          <w:szCs w:val="20"/>
        </w:rPr>
        <w:t>оцінки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рівня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фінансової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б</w:t>
      </w:r>
      <w:r w:rsidR="00194A72">
        <w:rPr>
          <w:rFonts w:eastAsia="Times New Roman"/>
          <w:sz w:val="20"/>
          <w:szCs w:val="20"/>
        </w:rPr>
        <w:t>езпеки</w:t>
      </w:r>
      <w:proofErr w:type="spellEnd"/>
      <w:r w:rsidR="00194A72">
        <w:rPr>
          <w:rFonts w:eastAsia="Times New Roman"/>
          <w:sz w:val="20"/>
          <w:szCs w:val="20"/>
        </w:rPr>
        <w:t xml:space="preserve"> як </w:t>
      </w:r>
      <w:proofErr w:type="spellStart"/>
      <w:r w:rsidR="00194A72">
        <w:rPr>
          <w:rFonts w:eastAsia="Times New Roman"/>
          <w:sz w:val="20"/>
          <w:szCs w:val="20"/>
        </w:rPr>
        <w:t>окремого</w:t>
      </w:r>
      <w:proofErr w:type="spellEnd"/>
      <w:r w:rsidR="00194A72">
        <w:rPr>
          <w:rFonts w:eastAsia="Times New Roman"/>
          <w:sz w:val="20"/>
          <w:szCs w:val="20"/>
        </w:rPr>
        <w:t xml:space="preserve"> </w:t>
      </w:r>
      <w:proofErr w:type="spellStart"/>
      <w:r w:rsidR="00194A72">
        <w:rPr>
          <w:rFonts w:eastAsia="Times New Roman"/>
          <w:sz w:val="20"/>
          <w:szCs w:val="20"/>
        </w:rPr>
        <w:t>комерційного</w:t>
      </w:r>
      <w:proofErr w:type="spellEnd"/>
      <w:r>
        <w:rPr>
          <w:rFonts w:eastAsia="Times New Roman"/>
          <w:sz w:val="20"/>
          <w:szCs w:val="20"/>
        </w:rPr>
        <w:t xml:space="preserve"> банку, так і </w:t>
      </w:r>
      <w:proofErr w:type="spellStart"/>
      <w:r>
        <w:rPr>
          <w:rFonts w:eastAsia="Times New Roman"/>
          <w:sz w:val="20"/>
          <w:szCs w:val="20"/>
        </w:rPr>
        <w:t>банківської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системи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загалом</w:t>
      </w:r>
      <w:proofErr w:type="spellEnd"/>
      <w:r w:rsidR="00194A72">
        <w:rPr>
          <w:rFonts w:eastAsia="Times New Roman"/>
          <w:sz w:val="20"/>
          <w:szCs w:val="20"/>
        </w:rPr>
        <w:t xml:space="preserve"> </w:t>
      </w:r>
      <w:proofErr w:type="spellStart"/>
      <w:r w:rsidR="00194A72">
        <w:rPr>
          <w:rFonts w:eastAsia="Times New Roman"/>
          <w:sz w:val="20"/>
          <w:szCs w:val="20"/>
        </w:rPr>
        <w:t>варто</w:t>
      </w:r>
      <w:proofErr w:type="spellEnd"/>
      <w:r w:rsidR="00194A72">
        <w:rPr>
          <w:rFonts w:eastAsia="Times New Roman"/>
          <w:sz w:val="20"/>
          <w:szCs w:val="20"/>
        </w:rPr>
        <w:t xml:space="preserve"> </w:t>
      </w:r>
      <w:proofErr w:type="spellStart"/>
      <w:r w:rsidR="00194A72">
        <w:rPr>
          <w:rFonts w:eastAsia="Times New Roman"/>
          <w:sz w:val="20"/>
          <w:szCs w:val="20"/>
        </w:rPr>
        <w:t>використовувати</w:t>
      </w:r>
      <w:proofErr w:type="spellEnd"/>
      <w:r w:rsidR="00194A72">
        <w:rPr>
          <w:rFonts w:eastAsia="Times New Roman"/>
          <w:sz w:val="20"/>
          <w:szCs w:val="20"/>
        </w:rPr>
        <w:t xml:space="preserve"> </w:t>
      </w:r>
      <w:proofErr w:type="spellStart"/>
      <w:r w:rsidR="00194A72">
        <w:rPr>
          <w:rFonts w:eastAsia="Times New Roman"/>
          <w:sz w:val="20"/>
          <w:szCs w:val="20"/>
        </w:rPr>
        <w:t>відносні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показники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які</w:t>
      </w:r>
      <w:proofErr w:type="spellEnd"/>
      <w:r>
        <w:rPr>
          <w:rFonts w:eastAsia="Times New Roman"/>
          <w:sz w:val="20"/>
          <w:szCs w:val="20"/>
        </w:rPr>
        <w:t xml:space="preserve"> є </w:t>
      </w:r>
      <w:proofErr w:type="spellStart"/>
      <w:r>
        <w:rPr>
          <w:rFonts w:eastAsia="Times New Roman"/>
          <w:sz w:val="20"/>
          <w:szCs w:val="20"/>
        </w:rPr>
        <w:t>гнучкішими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ніж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економічні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нормативи</w:t>
      </w:r>
      <w:proofErr w:type="spellEnd"/>
      <w:r>
        <w:rPr>
          <w:rFonts w:eastAsia="Times New Roman"/>
          <w:sz w:val="20"/>
          <w:szCs w:val="20"/>
        </w:rPr>
        <w:t>.</w:t>
      </w:r>
    </w:p>
    <w:p w:rsidR="009134EA" w:rsidRDefault="009134EA">
      <w:pPr>
        <w:spacing w:line="50" w:lineRule="exact"/>
        <w:rPr>
          <w:sz w:val="20"/>
          <w:szCs w:val="20"/>
        </w:rPr>
      </w:pPr>
    </w:p>
    <w:p w:rsidR="009134EA" w:rsidRDefault="00F67BF6">
      <w:pPr>
        <w:numPr>
          <w:ilvl w:val="1"/>
          <w:numId w:val="2"/>
        </w:numPr>
        <w:tabs>
          <w:tab w:val="left" w:pos="510"/>
        </w:tabs>
        <w:ind w:left="510" w:hanging="22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цьому випадку універсальними моделями оцінки рівня фінансової безпеки</w:t>
      </w:r>
    </w:p>
    <w:p w:rsidR="009134EA" w:rsidRDefault="00F67BF6">
      <w:pPr>
        <w:numPr>
          <w:ilvl w:val="0"/>
          <w:numId w:val="2"/>
        </w:numPr>
        <w:tabs>
          <w:tab w:val="left" w:pos="178"/>
        </w:tabs>
        <w:ind w:left="10" w:right="20" w:hanging="1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методи, які ґрунтуються на коефіцієнтах, що відображають фінансові аспекти діяльності банку. Кількість коефіцієнтів залежить від підходів дослідника до вирішуваної проблеми, що, відповідно, зумовлює появу великої кількості таких коефіцієнтів (табл. 2).</w:t>
      </w:r>
    </w:p>
    <w:p w:rsidR="009134EA" w:rsidRDefault="00F67BF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262255</wp:posOffset>
                </wp:positionV>
                <wp:extent cx="504063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406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05pt,20.65pt" to="396.95pt,20.65pt" o:allowincell="f" strokecolor="#999999" strokeweight="2pt"/>
            </w:pict>
          </mc:Fallback>
        </mc:AlternateContent>
      </w:r>
    </w:p>
    <w:p w:rsidR="009612D4" w:rsidRDefault="009612D4"/>
    <w:p w:rsidR="009134EA" w:rsidRDefault="009134EA">
      <w:pPr>
        <w:rPr>
          <w:lang w:val="uk-UA"/>
        </w:rPr>
      </w:pPr>
    </w:p>
    <w:p w:rsidR="009612D4" w:rsidRDefault="009612D4">
      <w:pPr>
        <w:rPr>
          <w:lang w:val="uk-UA"/>
        </w:rPr>
      </w:pPr>
    </w:p>
    <w:p w:rsidR="009612D4" w:rsidRDefault="009612D4">
      <w:pPr>
        <w:rPr>
          <w:lang w:val="uk-UA"/>
        </w:rPr>
      </w:pPr>
    </w:p>
    <w:p w:rsidR="009612D4" w:rsidRDefault="009612D4">
      <w:pPr>
        <w:rPr>
          <w:lang w:val="uk-UA"/>
        </w:rPr>
      </w:pPr>
    </w:p>
    <w:p w:rsidR="009612D4" w:rsidRDefault="009612D4">
      <w:pPr>
        <w:rPr>
          <w:lang w:val="uk-UA"/>
        </w:rPr>
      </w:pPr>
    </w:p>
    <w:p w:rsidR="009612D4" w:rsidRDefault="009612D4">
      <w:pPr>
        <w:rPr>
          <w:lang w:val="uk-UA"/>
        </w:rPr>
      </w:pPr>
    </w:p>
    <w:p w:rsidR="009612D4" w:rsidRDefault="009612D4">
      <w:pPr>
        <w:rPr>
          <w:lang w:val="uk-UA"/>
        </w:rPr>
      </w:pPr>
    </w:p>
    <w:p w:rsidR="009612D4" w:rsidRDefault="009612D4">
      <w:pPr>
        <w:rPr>
          <w:lang w:val="uk-UA"/>
        </w:rPr>
      </w:pPr>
    </w:p>
    <w:p w:rsidR="009612D4" w:rsidRDefault="009612D4">
      <w:pPr>
        <w:rPr>
          <w:lang w:val="uk-UA"/>
        </w:rPr>
      </w:pPr>
    </w:p>
    <w:p w:rsidR="009612D4" w:rsidRDefault="009612D4">
      <w:pPr>
        <w:rPr>
          <w:lang w:val="uk-UA"/>
        </w:rPr>
      </w:pPr>
    </w:p>
    <w:p w:rsidR="009612D4" w:rsidRDefault="009612D4">
      <w:pPr>
        <w:rPr>
          <w:lang w:val="uk-UA"/>
        </w:rPr>
      </w:pPr>
    </w:p>
    <w:p w:rsidR="009612D4" w:rsidRDefault="009612D4">
      <w:pPr>
        <w:rPr>
          <w:lang w:val="uk-UA"/>
        </w:rPr>
      </w:pPr>
    </w:p>
    <w:p w:rsidR="009612D4" w:rsidRPr="009612D4" w:rsidRDefault="009612D4">
      <w:pPr>
        <w:rPr>
          <w:lang w:val="uk-UA"/>
        </w:rPr>
        <w:sectPr w:rsidR="009612D4" w:rsidRPr="009612D4">
          <w:pgSz w:w="9640" w:h="14173"/>
          <w:pgMar w:top="591" w:right="858" w:bottom="5" w:left="860" w:header="0" w:footer="0" w:gutter="0"/>
          <w:cols w:space="720" w:equalWidth="0">
            <w:col w:w="7920"/>
          </w:cols>
        </w:sectPr>
      </w:pPr>
    </w:p>
    <w:p w:rsidR="009134EA" w:rsidRDefault="009134EA">
      <w:pPr>
        <w:spacing w:line="200" w:lineRule="exact"/>
        <w:rPr>
          <w:sz w:val="20"/>
          <w:szCs w:val="20"/>
        </w:rPr>
      </w:pPr>
    </w:p>
    <w:p w:rsidR="009134EA" w:rsidRDefault="009134EA">
      <w:pPr>
        <w:spacing w:line="200" w:lineRule="exact"/>
        <w:rPr>
          <w:sz w:val="20"/>
          <w:szCs w:val="20"/>
        </w:rPr>
      </w:pPr>
    </w:p>
    <w:p w:rsidR="009134EA" w:rsidRDefault="009134EA">
      <w:pPr>
        <w:spacing w:line="200" w:lineRule="exact"/>
        <w:rPr>
          <w:sz w:val="20"/>
          <w:szCs w:val="20"/>
        </w:rPr>
      </w:pPr>
    </w:p>
    <w:p w:rsidR="009134EA" w:rsidRDefault="009134EA">
      <w:pPr>
        <w:spacing w:line="200" w:lineRule="exact"/>
        <w:rPr>
          <w:sz w:val="20"/>
          <w:szCs w:val="20"/>
        </w:rPr>
      </w:pPr>
    </w:p>
    <w:p w:rsidR="009134EA" w:rsidRDefault="009134EA">
      <w:pPr>
        <w:spacing w:line="200" w:lineRule="exact"/>
        <w:rPr>
          <w:sz w:val="20"/>
          <w:szCs w:val="20"/>
        </w:rPr>
      </w:pPr>
    </w:p>
    <w:p w:rsidR="009134EA" w:rsidRDefault="009134EA">
      <w:pPr>
        <w:spacing w:line="200" w:lineRule="exact"/>
        <w:rPr>
          <w:sz w:val="20"/>
          <w:szCs w:val="20"/>
        </w:rPr>
      </w:pPr>
    </w:p>
    <w:p w:rsidR="00F931EF" w:rsidRPr="00F931EF" w:rsidRDefault="00F931EF" w:rsidP="00F931EF">
      <w:pPr>
        <w:spacing w:line="351" w:lineRule="exact"/>
        <w:rPr>
          <w:sz w:val="20"/>
          <w:szCs w:val="20"/>
        </w:rPr>
      </w:pPr>
    </w:p>
    <w:p w:rsidR="00F931EF" w:rsidRPr="00F931EF" w:rsidRDefault="00F931EF" w:rsidP="00F931EF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11"/>
        <w:gridCol w:w="440"/>
        <w:gridCol w:w="420"/>
        <w:gridCol w:w="260"/>
        <w:gridCol w:w="280"/>
        <w:gridCol w:w="300"/>
        <w:gridCol w:w="724"/>
        <w:gridCol w:w="356"/>
        <w:gridCol w:w="20"/>
      </w:tblGrid>
      <w:tr w:rsidR="00F931EF" w:rsidRPr="00F931EF" w:rsidTr="00B6133D">
        <w:trPr>
          <w:trHeight w:val="208"/>
        </w:trPr>
        <w:tc>
          <w:tcPr>
            <w:tcW w:w="6080" w:type="dxa"/>
            <w:gridSpan w:val="7"/>
            <w:vMerge w:val="restart"/>
            <w:vAlign w:val="bottom"/>
          </w:tcPr>
          <w:p w:rsidR="00F931EF" w:rsidRPr="00F931EF" w:rsidRDefault="00F931EF" w:rsidP="00F931EF">
            <w:pPr>
              <w:ind w:left="700"/>
              <w:jc w:val="center"/>
              <w:rPr>
                <w:sz w:val="20"/>
                <w:szCs w:val="20"/>
              </w:rPr>
            </w:pP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Показники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/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коефіцієнти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оцінки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931EF">
              <w:rPr>
                <w:rFonts w:eastAsia="Times New Roman"/>
                <w:sz w:val="16"/>
                <w:szCs w:val="16"/>
              </w:rPr>
              <w:t>р</w:t>
            </w:r>
            <w:proofErr w:type="gramEnd"/>
            <w:r w:rsidRPr="00F931EF">
              <w:rPr>
                <w:rFonts w:eastAsia="Times New Roman"/>
                <w:sz w:val="16"/>
                <w:szCs w:val="16"/>
              </w:rPr>
              <w:t>івня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безпеки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банків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і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банківської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системи</w:t>
            </w:r>
            <w:proofErr w:type="spellEnd"/>
          </w:p>
        </w:tc>
        <w:tc>
          <w:tcPr>
            <w:tcW w:w="1080" w:type="dxa"/>
            <w:gridSpan w:val="2"/>
            <w:vAlign w:val="bottom"/>
          </w:tcPr>
          <w:p w:rsidR="00F931EF" w:rsidRPr="00F931EF" w:rsidRDefault="00F931EF" w:rsidP="00F931EF">
            <w:pPr>
              <w:jc w:val="right"/>
              <w:rPr>
                <w:sz w:val="20"/>
                <w:szCs w:val="20"/>
              </w:rPr>
            </w:pP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Таблиця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2</w:t>
            </w: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184"/>
        </w:trPr>
        <w:tc>
          <w:tcPr>
            <w:tcW w:w="6080" w:type="dxa"/>
            <w:gridSpan w:val="7"/>
            <w:vMerge/>
            <w:vAlign w:val="bottom"/>
          </w:tcPr>
          <w:p w:rsidR="00F931EF" w:rsidRPr="00F931EF" w:rsidRDefault="00F931EF" w:rsidP="00F931EF">
            <w:pPr>
              <w:rPr>
                <w:sz w:val="15"/>
                <w:szCs w:val="15"/>
              </w:rPr>
            </w:pPr>
          </w:p>
        </w:tc>
        <w:tc>
          <w:tcPr>
            <w:tcW w:w="724" w:type="dxa"/>
            <w:vAlign w:val="bottom"/>
          </w:tcPr>
          <w:p w:rsidR="00F931EF" w:rsidRPr="00F931EF" w:rsidRDefault="00F931EF" w:rsidP="00F931EF">
            <w:pPr>
              <w:rPr>
                <w:sz w:val="15"/>
                <w:szCs w:val="15"/>
              </w:rPr>
            </w:pPr>
          </w:p>
        </w:tc>
        <w:tc>
          <w:tcPr>
            <w:tcW w:w="356" w:type="dxa"/>
            <w:vAlign w:val="bottom"/>
          </w:tcPr>
          <w:p w:rsidR="00F931EF" w:rsidRPr="00F931EF" w:rsidRDefault="00F931EF" w:rsidP="00F931EF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192"/>
        </w:trPr>
        <w:tc>
          <w:tcPr>
            <w:tcW w:w="3969" w:type="dxa"/>
            <w:vAlign w:val="bottom"/>
          </w:tcPr>
          <w:p w:rsidR="00F931EF" w:rsidRPr="00F931EF" w:rsidRDefault="00F931EF" w:rsidP="00F931EF">
            <w:pPr>
              <w:jc w:val="right"/>
              <w:rPr>
                <w:sz w:val="20"/>
                <w:szCs w:val="20"/>
              </w:rPr>
            </w:pP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Автори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які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931EF">
              <w:rPr>
                <w:rFonts w:eastAsia="Times New Roman"/>
                <w:sz w:val="16"/>
                <w:szCs w:val="16"/>
              </w:rPr>
              <w:t>досл</w:t>
            </w:r>
            <w:proofErr w:type="gramEnd"/>
            <w:r w:rsidRPr="00F931EF">
              <w:rPr>
                <w:rFonts w:eastAsia="Times New Roman"/>
                <w:sz w:val="16"/>
                <w:szCs w:val="16"/>
              </w:rPr>
              <w:t>іджували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безпеку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банківської</w:t>
            </w:r>
            <w:proofErr w:type="spellEnd"/>
          </w:p>
        </w:tc>
        <w:tc>
          <w:tcPr>
            <w:tcW w:w="411" w:type="dxa"/>
            <w:vAlign w:val="bottom"/>
          </w:tcPr>
          <w:p w:rsidR="00F931EF" w:rsidRPr="00F931EF" w:rsidRDefault="00F931EF" w:rsidP="00F931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F931EF" w:rsidRPr="00F931EF" w:rsidRDefault="00F931EF" w:rsidP="00F931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F931EF" w:rsidRPr="00F931EF" w:rsidRDefault="00F931EF" w:rsidP="00F931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F931EF" w:rsidRPr="00F931EF" w:rsidRDefault="00F931EF" w:rsidP="00F931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931EF" w:rsidRPr="00F931EF" w:rsidRDefault="00F931EF" w:rsidP="00F931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931EF" w:rsidRPr="00F931EF" w:rsidRDefault="00F931EF" w:rsidP="00F931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vMerge w:val="restart"/>
            <w:textDirection w:val="btLr"/>
            <w:vAlign w:val="bottom"/>
          </w:tcPr>
          <w:p w:rsidR="00F931EF" w:rsidRPr="00F931EF" w:rsidRDefault="00F931EF" w:rsidP="00F931EF">
            <w:pPr>
              <w:jc w:val="center"/>
              <w:rPr>
                <w:sz w:val="16"/>
                <w:szCs w:val="16"/>
              </w:rPr>
            </w:pPr>
            <w:r w:rsidRPr="00F931EF">
              <w:rPr>
                <w:rFonts w:eastAsia="Times New Roman"/>
                <w:w w:val="75"/>
                <w:sz w:val="16"/>
                <w:szCs w:val="16"/>
              </w:rPr>
              <w:t>В.І.</w:t>
            </w:r>
            <w:proofErr w:type="spellStart"/>
            <w:r w:rsidRPr="00F931EF">
              <w:rPr>
                <w:rFonts w:eastAsia="Times New Roman"/>
                <w:w w:val="75"/>
                <w:sz w:val="16"/>
                <w:szCs w:val="16"/>
              </w:rPr>
              <w:t>Гайдуктаін</w:t>
            </w:r>
            <w:proofErr w:type="spellEnd"/>
            <w:proofErr w:type="gramStart"/>
            <w:r w:rsidRPr="00F931EF">
              <w:rPr>
                <w:rFonts w:eastAsia="Times New Roman"/>
                <w:w w:val="75"/>
                <w:sz w:val="16"/>
                <w:szCs w:val="16"/>
              </w:rPr>
              <w:t>..</w:t>
            </w:r>
            <w:proofErr w:type="spellStart"/>
            <w:proofErr w:type="gramEnd"/>
            <w:r w:rsidRPr="00F931EF">
              <w:rPr>
                <w:rFonts w:eastAsia="Times New Roman"/>
                <w:w w:val="75"/>
                <w:sz w:val="16"/>
                <w:szCs w:val="16"/>
              </w:rPr>
              <w:t>О.І.Барановський</w:t>
            </w:r>
            <w:proofErr w:type="spellEnd"/>
          </w:p>
        </w:tc>
        <w:tc>
          <w:tcPr>
            <w:tcW w:w="356" w:type="dxa"/>
            <w:vAlign w:val="bottom"/>
          </w:tcPr>
          <w:p w:rsidR="00F931EF" w:rsidRPr="00F931EF" w:rsidRDefault="00F931EF" w:rsidP="00F931EF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192"/>
        </w:trPr>
        <w:tc>
          <w:tcPr>
            <w:tcW w:w="3969" w:type="dxa"/>
            <w:vAlign w:val="bottom"/>
          </w:tcPr>
          <w:p w:rsidR="00F931EF" w:rsidRPr="00F931EF" w:rsidRDefault="00F931EF" w:rsidP="00F931EF">
            <w:pPr>
              <w:jc w:val="right"/>
              <w:rPr>
                <w:sz w:val="20"/>
                <w:szCs w:val="20"/>
              </w:rPr>
            </w:pP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діяльності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за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допомогою</w:t>
            </w:r>
            <w:proofErr w:type="spellEnd"/>
          </w:p>
        </w:tc>
        <w:tc>
          <w:tcPr>
            <w:tcW w:w="411" w:type="dxa"/>
            <w:vMerge w:val="restart"/>
            <w:textDirection w:val="btLr"/>
            <w:vAlign w:val="bottom"/>
          </w:tcPr>
          <w:p w:rsidR="00F931EF" w:rsidRPr="00F931EF" w:rsidRDefault="00F931EF" w:rsidP="00F931EF">
            <w:pPr>
              <w:ind w:left="113"/>
              <w:rPr>
                <w:sz w:val="20"/>
                <w:szCs w:val="20"/>
              </w:rPr>
            </w:pPr>
            <w:proofErr w:type="spellStart"/>
            <w:r w:rsidRPr="00F931EF">
              <w:rPr>
                <w:rFonts w:eastAsia="Times New Roman"/>
                <w:w w:val="76"/>
                <w:sz w:val="20"/>
                <w:szCs w:val="20"/>
              </w:rPr>
              <w:t>Е.А.Андрєєва</w:t>
            </w:r>
            <w:proofErr w:type="spellEnd"/>
          </w:p>
        </w:tc>
        <w:tc>
          <w:tcPr>
            <w:tcW w:w="440" w:type="dxa"/>
            <w:vMerge w:val="restart"/>
            <w:textDirection w:val="btLr"/>
            <w:vAlign w:val="bottom"/>
          </w:tcPr>
          <w:p w:rsidR="00F931EF" w:rsidRPr="00F931EF" w:rsidRDefault="00F931EF" w:rsidP="00F931EF">
            <w:pPr>
              <w:ind w:left="298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F931EF">
              <w:rPr>
                <w:rFonts w:eastAsia="Times New Roman"/>
                <w:w w:val="78"/>
                <w:sz w:val="16"/>
                <w:szCs w:val="16"/>
              </w:rPr>
              <w:t>А.О.Є</w:t>
            </w:r>
            <w:proofErr w:type="gramStart"/>
            <w:r w:rsidRPr="00F931EF">
              <w:rPr>
                <w:rFonts w:eastAsia="Times New Roman"/>
                <w:w w:val="78"/>
                <w:sz w:val="16"/>
                <w:szCs w:val="16"/>
              </w:rPr>
              <w:t>п</w:t>
            </w:r>
            <w:proofErr w:type="gramEnd"/>
            <w:r w:rsidRPr="00F931EF">
              <w:rPr>
                <w:rFonts w:eastAsia="Times New Roman"/>
                <w:w w:val="78"/>
                <w:sz w:val="16"/>
                <w:szCs w:val="16"/>
              </w:rPr>
              <w:t>іфановО.Л.Пластун</w:t>
            </w:r>
            <w:proofErr w:type="spellEnd"/>
          </w:p>
        </w:tc>
        <w:tc>
          <w:tcPr>
            <w:tcW w:w="420" w:type="dxa"/>
            <w:vMerge w:val="restart"/>
            <w:textDirection w:val="btLr"/>
            <w:vAlign w:val="bottom"/>
          </w:tcPr>
          <w:p w:rsidR="00F931EF" w:rsidRPr="00F931EF" w:rsidRDefault="00F931EF" w:rsidP="00F931EF">
            <w:pPr>
              <w:ind w:left="339"/>
              <w:jc w:val="center"/>
              <w:rPr>
                <w:sz w:val="16"/>
                <w:szCs w:val="16"/>
                <w:lang w:val="uk-UA"/>
              </w:rPr>
            </w:pPr>
            <w:r w:rsidRPr="00F931EF">
              <w:rPr>
                <w:rFonts w:eastAsia="Times New Roman"/>
                <w:w w:val="79"/>
                <w:sz w:val="16"/>
                <w:szCs w:val="16"/>
                <w:lang w:val="uk-UA"/>
              </w:rPr>
              <w:t>О.М.</w:t>
            </w:r>
            <w:proofErr w:type="spellStart"/>
            <w:r w:rsidRPr="00F931EF">
              <w:rPr>
                <w:rFonts w:eastAsia="Times New Roman"/>
                <w:w w:val="79"/>
                <w:sz w:val="16"/>
                <w:szCs w:val="16"/>
                <w:lang w:val="uk-UA"/>
              </w:rPr>
              <w:t>КолодізєвО.М.Штаєр</w:t>
            </w:r>
            <w:proofErr w:type="spellEnd"/>
          </w:p>
        </w:tc>
        <w:tc>
          <w:tcPr>
            <w:tcW w:w="260" w:type="dxa"/>
            <w:vMerge w:val="restart"/>
            <w:textDirection w:val="btLr"/>
            <w:vAlign w:val="bottom"/>
          </w:tcPr>
          <w:p w:rsidR="00F931EF" w:rsidRPr="00F931EF" w:rsidRDefault="00F931EF" w:rsidP="00F931EF">
            <w:pPr>
              <w:ind w:left="61"/>
              <w:jc w:val="center"/>
              <w:rPr>
                <w:sz w:val="16"/>
                <w:szCs w:val="16"/>
              </w:rPr>
            </w:pPr>
            <w:proofErr w:type="spellStart"/>
            <w:r w:rsidRPr="00F931EF">
              <w:rPr>
                <w:rFonts w:eastAsia="Times New Roman"/>
                <w:w w:val="76"/>
                <w:sz w:val="16"/>
                <w:szCs w:val="16"/>
              </w:rPr>
              <w:t>Н.Н.Наточева</w:t>
            </w:r>
            <w:proofErr w:type="spellEnd"/>
          </w:p>
        </w:tc>
        <w:tc>
          <w:tcPr>
            <w:tcW w:w="280" w:type="dxa"/>
            <w:vMerge w:val="restart"/>
            <w:textDirection w:val="btLr"/>
            <w:vAlign w:val="bottom"/>
          </w:tcPr>
          <w:p w:rsidR="00F931EF" w:rsidRPr="00F931EF" w:rsidRDefault="00F931EF" w:rsidP="00F931EF">
            <w:pPr>
              <w:ind w:left="64"/>
              <w:jc w:val="center"/>
              <w:rPr>
                <w:sz w:val="16"/>
                <w:szCs w:val="16"/>
              </w:rPr>
            </w:pPr>
            <w:proofErr w:type="spellStart"/>
            <w:r w:rsidRPr="00F931EF">
              <w:rPr>
                <w:rFonts w:eastAsia="Times New Roman"/>
                <w:w w:val="73"/>
                <w:sz w:val="16"/>
                <w:szCs w:val="16"/>
              </w:rPr>
              <w:t>П.В.Каллаур</w:t>
            </w:r>
            <w:proofErr w:type="spellEnd"/>
          </w:p>
        </w:tc>
        <w:tc>
          <w:tcPr>
            <w:tcW w:w="300" w:type="dxa"/>
            <w:vMerge w:val="restart"/>
            <w:textDirection w:val="btLr"/>
            <w:vAlign w:val="bottom"/>
          </w:tcPr>
          <w:p w:rsidR="00F931EF" w:rsidRPr="00F931EF" w:rsidRDefault="00F931EF" w:rsidP="00F931EF">
            <w:pPr>
              <w:ind w:left="62"/>
              <w:jc w:val="center"/>
              <w:rPr>
                <w:sz w:val="16"/>
                <w:szCs w:val="16"/>
              </w:rPr>
            </w:pPr>
            <w:proofErr w:type="spellStart"/>
            <w:r w:rsidRPr="00F931EF">
              <w:rPr>
                <w:rFonts w:eastAsia="Times New Roman"/>
                <w:w w:val="77"/>
                <w:sz w:val="16"/>
                <w:szCs w:val="16"/>
              </w:rPr>
              <w:t>Г.Ю.Хачатурян</w:t>
            </w:r>
            <w:proofErr w:type="spellEnd"/>
          </w:p>
        </w:tc>
        <w:tc>
          <w:tcPr>
            <w:tcW w:w="724" w:type="dxa"/>
            <w:vMerge/>
            <w:vAlign w:val="bottom"/>
          </w:tcPr>
          <w:p w:rsidR="00F931EF" w:rsidRPr="00F931EF" w:rsidRDefault="00F931EF" w:rsidP="00F931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vMerge w:val="restart"/>
            <w:textDirection w:val="btLr"/>
            <w:vAlign w:val="bottom"/>
          </w:tcPr>
          <w:p w:rsidR="00F931EF" w:rsidRPr="00F931EF" w:rsidRDefault="00F931EF" w:rsidP="00F931EF">
            <w:pPr>
              <w:rPr>
                <w:sz w:val="16"/>
                <w:szCs w:val="16"/>
              </w:rPr>
            </w:pPr>
            <w:proofErr w:type="spellStart"/>
            <w:r w:rsidRPr="00F931EF">
              <w:rPr>
                <w:rFonts w:eastAsia="Times New Roman"/>
                <w:w w:val="84"/>
                <w:sz w:val="16"/>
                <w:szCs w:val="16"/>
              </w:rPr>
              <w:t>В.І.ФранчукС</w:t>
            </w:r>
            <w:proofErr w:type="gramStart"/>
            <w:r w:rsidRPr="00F931EF">
              <w:rPr>
                <w:rFonts w:eastAsia="Times New Roman"/>
                <w:w w:val="84"/>
                <w:sz w:val="16"/>
                <w:szCs w:val="16"/>
              </w:rPr>
              <w:t>.І.</w:t>
            </w:r>
            <w:proofErr w:type="gramEnd"/>
            <w:r w:rsidRPr="00F931EF">
              <w:rPr>
                <w:rFonts w:eastAsia="Times New Roman"/>
                <w:w w:val="84"/>
                <w:sz w:val="16"/>
                <w:szCs w:val="16"/>
              </w:rPr>
              <w:t>Мельник</w:t>
            </w:r>
            <w:proofErr w:type="spellEnd"/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6"/>
                <w:szCs w:val="16"/>
              </w:rPr>
            </w:pPr>
          </w:p>
        </w:tc>
      </w:tr>
      <w:tr w:rsidR="00F931EF" w:rsidRPr="00F931EF" w:rsidTr="00B6133D">
        <w:trPr>
          <w:trHeight w:val="1342"/>
        </w:trPr>
        <w:tc>
          <w:tcPr>
            <w:tcW w:w="3969" w:type="dxa"/>
            <w:vMerge w:val="restart"/>
            <w:vAlign w:val="bottom"/>
          </w:tcPr>
          <w:p w:rsidR="00F931EF" w:rsidRPr="00F931EF" w:rsidRDefault="00F931EF" w:rsidP="00F931EF">
            <w:pPr>
              <w:jc w:val="right"/>
              <w:rPr>
                <w:sz w:val="20"/>
                <w:szCs w:val="20"/>
              </w:rPr>
            </w:pP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коефіцієнтного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методу</w:t>
            </w:r>
          </w:p>
        </w:tc>
        <w:tc>
          <w:tcPr>
            <w:tcW w:w="411" w:type="dxa"/>
            <w:vMerge/>
            <w:vAlign w:val="bottom"/>
          </w:tcPr>
          <w:p w:rsidR="00F931EF" w:rsidRPr="00F931EF" w:rsidRDefault="00F931EF" w:rsidP="00F931EF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vMerge/>
            <w:vAlign w:val="bottom"/>
          </w:tcPr>
          <w:p w:rsidR="00F931EF" w:rsidRPr="00F931EF" w:rsidRDefault="00F931EF" w:rsidP="00F931EF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vAlign w:val="bottom"/>
          </w:tcPr>
          <w:p w:rsidR="00F931EF" w:rsidRPr="00F931EF" w:rsidRDefault="00F931EF" w:rsidP="00F931EF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Merge/>
            <w:vAlign w:val="bottom"/>
          </w:tcPr>
          <w:p w:rsidR="00F931EF" w:rsidRPr="00F931EF" w:rsidRDefault="00F931EF" w:rsidP="00F931EF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Merge/>
            <w:vAlign w:val="bottom"/>
          </w:tcPr>
          <w:p w:rsidR="00F931EF" w:rsidRPr="00F931EF" w:rsidRDefault="00F931EF" w:rsidP="00F931EF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Merge/>
            <w:vAlign w:val="bottom"/>
          </w:tcPr>
          <w:p w:rsidR="00F931EF" w:rsidRPr="00F931EF" w:rsidRDefault="00F931EF" w:rsidP="00F931EF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vAlign w:val="bottom"/>
          </w:tcPr>
          <w:p w:rsidR="00F931EF" w:rsidRPr="00F931EF" w:rsidRDefault="00F931EF" w:rsidP="00F931EF">
            <w:pPr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bottom"/>
          </w:tcPr>
          <w:p w:rsidR="00F931EF" w:rsidRPr="00F931EF" w:rsidRDefault="00F931EF" w:rsidP="00F931EF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6"/>
                <w:szCs w:val="16"/>
              </w:rPr>
            </w:pPr>
          </w:p>
        </w:tc>
      </w:tr>
      <w:tr w:rsidR="00F931EF" w:rsidRPr="00F931EF" w:rsidTr="00B6133D">
        <w:trPr>
          <w:trHeight w:val="621"/>
        </w:trPr>
        <w:tc>
          <w:tcPr>
            <w:tcW w:w="3969" w:type="dxa"/>
            <w:vMerge/>
            <w:vAlign w:val="bottom"/>
          </w:tcPr>
          <w:p w:rsidR="00F931EF" w:rsidRPr="00F931EF" w:rsidRDefault="00F931EF" w:rsidP="00F931EF">
            <w:pPr>
              <w:rPr>
                <w:sz w:val="4"/>
                <w:szCs w:val="4"/>
              </w:rPr>
            </w:pPr>
          </w:p>
        </w:tc>
        <w:tc>
          <w:tcPr>
            <w:tcW w:w="411" w:type="dxa"/>
            <w:vAlign w:val="bottom"/>
          </w:tcPr>
          <w:p w:rsidR="00F931EF" w:rsidRPr="00F931EF" w:rsidRDefault="00F931EF" w:rsidP="00F931EF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vAlign w:val="bottom"/>
          </w:tcPr>
          <w:p w:rsidR="00F931EF" w:rsidRPr="00F931EF" w:rsidRDefault="00F931EF" w:rsidP="00F931EF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vAlign w:val="bottom"/>
          </w:tcPr>
          <w:p w:rsidR="00F931EF" w:rsidRPr="00F931EF" w:rsidRDefault="00F931EF" w:rsidP="00F931EF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vAlign w:val="bottom"/>
          </w:tcPr>
          <w:p w:rsidR="00F931EF" w:rsidRPr="00F931EF" w:rsidRDefault="00F931EF" w:rsidP="00F931EF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F931EF" w:rsidRPr="00F931EF" w:rsidRDefault="00F931EF" w:rsidP="00F931EF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vAlign w:val="bottom"/>
          </w:tcPr>
          <w:p w:rsidR="00F931EF" w:rsidRPr="00F931EF" w:rsidRDefault="00F931EF" w:rsidP="00F931EF">
            <w:pPr>
              <w:rPr>
                <w:sz w:val="4"/>
                <w:szCs w:val="4"/>
              </w:rPr>
            </w:pPr>
          </w:p>
        </w:tc>
        <w:tc>
          <w:tcPr>
            <w:tcW w:w="724" w:type="dxa"/>
            <w:vAlign w:val="bottom"/>
          </w:tcPr>
          <w:p w:rsidR="00F931EF" w:rsidRPr="00F931EF" w:rsidRDefault="00F931EF" w:rsidP="00F931EF">
            <w:pPr>
              <w:rPr>
                <w:sz w:val="4"/>
                <w:szCs w:val="4"/>
              </w:rPr>
            </w:pPr>
          </w:p>
        </w:tc>
        <w:tc>
          <w:tcPr>
            <w:tcW w:w="356" w:type="dxa"/>
            <w:vAlign w:val="bottom"/>
          </w:tcPr>
          <w:p w:rsidR="00F931EF" w:rsidRPr="00F931EF" w:rsidRDefault="00F931EF" w:rsidP="00F931EF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949"/>
        </w:trPr>
        <w:tc>
          <w:tcPr>
            <w:tcW w:w="3969" w:type="dxa"/>
            <w:vAlign w:val="bottom"/>
          </w:tcPr>
          <w:p w:rsidR="00F931EF" w:rsidRPr="00F931EF" w:rsidRDefault="00F931EF" w:rsidP="00F931EF">
            <w:pPr>
              <w:rPr>
                <w:sz w:val="20"/>
                <w:szCs w:val="20"/>
              </w:rPr>
            </w:pP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Назва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коефіцієнта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/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показника</w:t>
            </w:r>
            <w:proofErr w:type="spellEnd"/>
          </w:p>
        </w:tc>
        <w:tc>
          <w:tcPr>
            <w:tcW w:w="411" w:type="dxa"/>
            <w:vAlign w:val="bottom"/>
          </w:tcPr>
          <w:p w:rsidR="00F931EF" w:rsidRPr="00F931EF" w:rsidRDefault="00F931EF" w:rsidP="00F931E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931EF" w:rsidRPr="00F931EF" w:rsidRDefault="00F931EF" w:rsidP="00F931E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931EF" w:rsidRPr="00F931EF" w:rsidRDefault="00F931EF" w:rsidP="00F931E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931EF" w:rsidRPr="00F931EF" w:rsidRDefault="00F931EF" w:rsidP="00F931E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931EF" w:rsidRPr="00F931EF" w:rsidRDefault="00F931EF" w:rsidP="00F931E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931EF" w:rsidRPr="00F931EF" w:rsidRDefault="00F931EF" w:rsidP="00F931EF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vAlign w:val="bottom"/>
          </w:tcPr>
          <w:p w:rsidR="00F931EF" w:rsidRPr="00F931EF" w:rsidRDefault="00F931EF" w:rsidP="00F931EF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vAlign w:val="bottom"/>
          </w:tcPr>
          <w:p w:rsidR="00F931EF" w:rsidRPr="00F931EF" w:rsidRDefault="00F931EF" w:rsidP="00F931E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192"/>
        </w:trPr>
        <w:tc>
          <w:tcPr>
            <w:tcW w:w="3969" w:type="dxa"/>
            <w:vAlign w:val="bottom"/>
          </w:tcPr>
          <w:p w:rsidR="00F931EF" w:rsidRPr="00F931EF" w:rsidRDefault="00F931EF" w:rsidP="00F931EF">
            <w:pPr>
              <w:ind w:left="60"/>
              <w:rPr>
                <w:sz w:val="20"/>
                <w:szCs w:val="20"/>
              </w:rPr>
            </w:pP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Відхилення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від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нормативів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банківської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ліквідності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/</w:t>
            </w:r>
          </w:p>
        </w:tc>
        <w:tc>
          <w:tcPr>
            <w:tcW w:w="411" w:type="dxa"/>
            <w:vMerge w:val="restart"/>
            <w:vAlign w:val="bottom"/>
          </w:tcPr>
          <w:p w:rsidR="00F931EF" w:rsidRPr="00F931EF" w:rsidRDefault="00F931EF" w:rsidP="00F931EF">
            <w:pPr>
              <w:jc w:val="center"/>
              <w:rPr>
                <w:sz w:val="20"/>
                <w:szCs w:val="20"/>
              </w:rPr>
            </w:pPr>
            <w:r w:rsidRPr="00F931EF">
              <w:rPr>
                <w:rFonts w:eastAsia="Times New Roman"/>
                <w:w w:val="88"/>
                <w:sz w:val="16"/>
                <w:szCs w:val="16"/>
              </w:rPr>
              <w:t>+</w:t>
            </w:r>
          </w:p>
        </w:tc>
        <w:tc>
          <w:tcPr>
            <w:tcW w:w="440" w:type="dxa"/>
            <w:vMerge w:val="restart"/>
            <w:vAlign w:val="bottom"/>
          </w:tcPr>
          <w:p w:rsidR="00F931EF" w:rsidRPr="00F931EF" w:rsidRDefault="00F931EF" w:rsidP="00F931EF">
            <w:pPr>
              <w:jc w:val="center"/>
              <w:rPr>
                <w:sz w:val="20"/>
                <w:szCs w:val="20"/>
              </w:rPr>
            </w:pPr>
            <w:r w:rsidRPr="00F931EF">
              <w:rPr>
                <w:rFonts w:eastAsia="Times New Roman"/>
                <w:w w:val="88"/>
                <w:sz w:val="16"/>
                <w:szCs w:val="16"/>
              </w:rPr>
              <w:t>+</w:t>
            </w:r>
          </w:p>
        </w:tc>
        <w:tc>
          <w:tcPr>
            <w:tcW w:w="420" w:type="dxa"/>
            <w:vAlign w:val="bottom"/>
          </w:tcPr>
          <w:p w:rsidR="00F931EF" w:rsidRPr="00F931EF" w:rsidRDefault="00F931EF" w:rsidP="00F931EF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F931EF" w:rsidRPr="00F931EF" w:rsidRDefault="00F931EF" w:rsidP="00F931EF">
            <w:pPr>
              <w:jc w:val="center"/>
              <w:rPr>
                <w:sz w:val="20"/>
                <w:szCs w:val="20"/>
              </w:rPr>
            </w:pPr>
            <w:r w:rsidRPr="00F931EF">
              <w:rPr>
                <w:rFonts w:eastAsia="Times New Roman"/>
                <w:sz w:val="16"/>
                <w:szCs w:val="16"/>
              </w:rPr>
              <w:t>+</w:t>
            </w:r>
          </w:p>
        </w:tc>
        <w:tc>
          <w:tcPr>
            <w:tcW w:w="280" w:type="dxa"/>
            <w:vMerge w:val="restart"/>
            <w:vAlign w:val="bottom"/>
          </w:tcPr>
          <w:p w:rsidR="00F931EF" w:rsidRPr="00F931EF" w:rsidRDefault="00F931EF" w:rsidP="00F931EF">
            <w:pPr>
              <w:jc w:val="center"/>
              <w:rPr>
                <w:sz w:val="20"/>
                <w:szCs w:val="20"/>
              </w:rPr>
            </w:pPr>
            <w:r w:rsidRPr="00F931EF">
              <w:rPr>
                <w:rFonts w:eastAsia="Times New Roman"/>
                <w:w w:val="88"/>
                <w:sz w:val="16"/>
                <w:szCs w:val="16"/>
              </w:rPr>
              <w:t>+</w:t>
            </w:r>
          </w:p>
        </w:tc>
        <w:tc>
          <w:tcPr>
            <w:tcW w:w="300" w:type="dxa"/>
            <w:vAlign w:val="bottom"/>
          </w:tcPr>
          <w:p w:rsidR="00F931EF" w:rsidRPr="00F931EF" w:rsidRDefault="00F931EF" w:rsidP="00F931EF">
            <w:pPr>
              <w:rPr>
                <w:sz w:val="16"/>
                <w:szCs w:val="16"/>
              </w:rPr>
            </w:pPr>
          </w:p>
        </w:tc>
        <w:tc>
          <w:tcPr>
            <w:tcW w:w="724" w:type="dxa"/>
            <w:vAlign w:val="bottom"/>
          </w:tcPr>
          <w:p w:rsidR="00F931EF" w:rsidRPr="00F931EF" w:rsidRDefault="00F931EF" w:rsidP="00F931EF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bottom"/>
          </w:tcPr>
          <w:p w:rsidR="00F931EF" w:rsidRPr="00F931EF" w:rsidRDefault="00F931EF" w:rsidP="00F931EF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114"/>
        </w:trPr>
        <w:tc>
          <w:tcPr>
            <w:tcW w:w="3969" w:type="dxa"/>
            <w:vMerge w:val="restart"/>
            <w:vAlign w:val="bottom"/>
          </w:tcPr>
          <w:p w:rsidR="00F931EF" w:rsidRPr="00F931EF" w:rsidRDefault="00F931EF" w:rsidP="00F931EF">
            <w:pPr>
              <w:ind w:left="60"/>
              <w:rPr>
                <w:sz w:val="20"/>
                <w:szCs w:val="20"/>
              </w:rPr>
            </w:pP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показники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ліквідності</w:t>
            </w:r>
            <w:proofErr w:type="spellEnd"/>
          </w:p>
        </w:tc>
        <w:tc>
          <w:tcPr>
            <w:tcW w:w="411" w:type="dxa"/>
            <w:vMerge/>
            <w:vAlign w:val="bottom"/>
          </w:tcPr>
          <w:p w:rsidR="00F931EF" w:rsidRPr="00F931EF" w:rsidRDefault="00F931EF" w:rsidP="00F931EF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/>
            <w:vAlign w:val="bottom"/>
          </w:tcPr>
          <w:p w:rsidR="00F931EF" w:rsidRPr="00F931EF" w:rsidRDefault="00F931EF" w:rsidP="00F931EF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F931EF" w:rsidRPr="00F931EF" w:rsidRDefault="00F931EF" w:rsidP="00F931EF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Merge/>
            <w:vAlign w:val="bottom"/>
          </w:tcPr>
          <w:p w:rsidR="00F931EF" w:rsidRPr="00F931EF" w:rsidRDefault="00F931EF" w:rsidP="00F931EF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Merge/>
            <w:vAlign w:val="bottom"/>
          </w:tcPr>
          <w:p w:rsidR="00F931EF" w:rsidRPr="00F931EF" w:rsidRDefault="00F931EF" w:rsidP="00F931EF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F931EF" w:rsidRPr="00F931EF" w:rsidRDefault="00F931EF" w:rsidP="00F931EF">
            <w:pPr>
              <w:rPr>
                <w:sz w:val="9"/>
                <w:szCs w:val="9"/>
              </w:rPr>
            </w:pPr>
          </w:p>
        </w:tc>
        <w:tc>
          <w:tcPr>
            <w:tcW w:w="724" w:type="dxa"/>
            <w:vAlign w:val="bottom"/>
          </w:tcPr>
          <w:p w:rsidR="00F931EF" w:rsidRPr="00F931EF" w:rsidRDefault="00F931EF" w:rsidP="00F931EF">
            <w:pPr>
              <w:rPr>
                <w:sz w:val="9"/>
                <w:szCs w:val="9"/>
              </w:rPr>
            </w:pPr>
          </w:p>
        </w:tc>
        <w:tc>
          <w:tcPr>
            <w:tcW w:w="356" w:type="dxa"/>
            <w:vAlign w:val="bottom"/>
          </w:tcPr>
          <w:p w:rsidR="00F931EF" w:rsidRPr="00F931EF" w:rsidRDefault="00F931EF" w:rsidP="00F931EF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88"/>
        </w:trPr>
        <w:tc>
          <w:tcPr>
            <w:tcW w:w="3969" w:type="dxa"/>
            <w:vMerge/>
            <w:vAlign w:val="bottom"/>
          </w:tcPr>
          <w:p w:rsidR="00F931EF" w:rsidRPr="00F931EF" w:rsidRDefault="00F931EF" w:rsidP="00F931EF">
            <w:pPr>
              <w:rPr>
                <w:sz w:val="7"/>
                <w:szCs w:val="7"/>
              </w:rPr>
            </w:pPr>
          </w:p>
        </w:tc>
        <w:tc>
          <w:tcPr>
            <w:tcW w:w="411" w:type="dxa"/>
            <w:vAlign w:val="bottom"/>
          </w:tcPr>
          <w:p w:rsidR="00F931EF" w:rsidRPr="00F931EF" w:rsidRDefault="00F931EF" w:rsidP="00F931EF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:rsidR="00F931EF" w:rsidRPr="00F931EF" w:rsidRDefault="00F931EF" w:rsidP="00F931EF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F931EF" w:rsidRPr="00F931EF" w:rsidRDefault="00F931EF" w:rsidP="00F931EF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F931EF" w:rsidRPr="00F931EF" w:rsidRDefault="00F931EF" w:rsidP="00F931EF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F931EF" w:rsidRPr="00F931EF" w:rsidRDefault="00F931EF" w:rsidP="00F931EF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F931EF" w:rsidRPr="00F931EF" w:rsidRDefault="00F931EF" w:rsidP="00F931EF">
            <w:pPr>
              <w:rPr>
                <w:sz w:val="7"/>
                <w:szCs w:val="7"/>
              </w:rPr>
            </w:pPr>
          </w:p>
        </w:tc>
        <w:tc>
          <w:tcPr>
            <w:tcW w:w="724" w:type="dxa"/>
            <w:vAlign w:val="bottom"/>
          </w:tcPr>
          <w:p w:rsidR="00F931EF" w:rsidRPr="00F931EF" w:rsidRDefault="00F931EF" w:rsidP="00F931EF">
            <w:pPr>
              <w:rPr>
                <w:sz w:val="7"/>
                <w:szCs w:val="7"/>
              </w:rPr>
            </w:pPr>
          </w:p>
        </w:tc>
        <w:tc>
          <w:tcPr>
            <w:tcW w:w="356" w:type="dxa"/>
            <w:vAlign w:val="bottom"/>
          </w:tcPr>
          <w:p w:rsidR="00F931EF" w:rsidRPr="00F931EF" w:rsidRDefault="00F931EF" w:rsidP="00F931EF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192"/>
        </w:trPr>
        <w:tc>
          <w:tcPr>
            <w:tcW w:w="3969" w:type="dxa"/>
            <w:vAlign w:val="bottom"/>
          </w:tcPr>
          <w:p w:rsidR="00F931EF" w:rsidRPr="00F931EF" w:rsidRDefault="00F931EF" w:rsidP="00F931EF">
            <w:pPr>
              <w:ind w:left="60"/>
              <w:rPr>
                <w:sz w:val="20"/>
                <w:szCs w:val="20"/>
              </w:rPr>
            </w:pP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Динаміка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показників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економічної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ефективності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і</w:t>
            </w:r>
          </w:p>
        </w:tc>
        <w:tc>
          <w:tcPr>
            <w:tcW w:w="411" w:type="dxa"/>
            <w:vMerge w:val="restart"/>
            <w:vAlign w:val="bottom"/>
          </w:tcPr>
          <w:p w:rsidR="00F931EF" w:rsidRPr="00F931EF" w:rsidRDefault="00F931EF" w:rsidP="00F931EF">
            <w:pPr>
              <w:jc w:val="center"/>
              <w:rPr>
                <w:sz w:val="20"/>
                <w:szCs w:val="20"/>
              </w:rPr>
            </w:pPr>
            <w:r w:rsidRPr="00F931EF">
              <w:rPr>
                <w:rFonts w:eastAsia="Times New Roman"/>
                <w:w w:val="88"/>
                <w:sz w:val="16"/>
                <w:szCs w:val="16"/>
              </w:rPr>
              <w:t>+</w:t>
            </w:r>
          </w:p>
        </w:tc>
        <w:tc>
          <w:tcPr>
            <w:tcW w:w="440" w:type="dxa"/>
            <w:vMerge w:val="restart"/>
            <w:vAlign w:val="bottom"/>
          </w:tcPr>
          <w:p w:rsidR="00F931EF" w:rsidRPr="00F931EF" w:rsidRDefault="00F931EF" w:rsidP="00F931EF">
            <w:pPr>
              <w:jc w:val="center"/>
              <w:rPr>
                <w:sz w:val="20"/>
                <w:szCs w:val="20"/>
              </w:rPr>
            </w:pPr>
            <w:r w:rsidRPr="00F931EF">
              <w:rPr>
                <w:rFonts w:eastAsia="Times New Roman"/>
                <w:w w:val="88"/>
                <w:sz w:val="16"/>
                <w:szCs w:val="16"/>
              </w:rPr>
              <w:t>+</w:t>
            </w:r>
          </w:p>
        </w:tc>
        <w:tc>
          <w:tcPr>
            <w:tcW w:w="420" w:type="dxa"/>
            <w:vAlign w:val="bottom"/>
          </w:tcPr>
          <w:p w:rsidR="00F931EF" w:rsidRPr="00F931EF" w:rsidRDefault="00F931EF" w:rsidP="00F931EF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F931EF" w:rsidRPr="00F931EF" w:rsidRDefault="00F931EF" w:rsidP="00F931EF">
            <w:pPr>
              <w:jc w:val="center"/>
              <w:rPr>
                <w:sz w:val="20"/>
                <w:szCs w:val="20"/>
              </w:rPr>
            </w:pPr>
            <w:r w:rsidRPr="00F931EF">
              <w:rPr>
                <w:rFonts w:eastAsia="Times New Roman"/>
                <w:sz w:val="16"/>
                <w:szCs w:val="16"/>
              </w:rPr>
              <w:t>+</w:t>
            </w:r>
          </w:p>
        </w:tc>
        <w:tc>
          <w:tcPr>
            <w:tcW w:w="280" w:type="dxa"/>
            <w:vMerge w:val="restart"/>
            <w:vAlign w:val="bottom"/>
          </w:tcPr>
          <w:p w:rsidR="00F931EF" w:rsidRPr="00F931EF" w:rsidRDefault="00F931EF" w:rsidP="00F931EF">
            <w:pPr>
              <w:jc w:val="center"/>
              <w:rPr>
                <w:sz w:val="20"/>
                <w:szCs w:val="20"/>
              </w:rPr>
            </w:pPr>
            <w:r w:rsidRPr="00F931EF">
              <w:rPr>
                <w:rFonts w:eastAsia="Times New Roman"/>
                <w:w w:val="88"/>
                <w:sz w:val="16"/>
                <w:szCs w:val="16"/>
              </w:rPr>
              <w:t>+</w:t>
            </w:r>
          </w:p>
        </w:tc>
        <w:tc>
          <w:tcPr>
            <w:tcW w:w="300" w:type="dxa"/>
            <w:vMerge w:val="restart"/>
            <w:vAlign w:val="bottom"/>
          </w:tcPr>
          <w:p w:rsidR="00F931EF" w:rsidRPr="00F931EF" w:rsidRDefault="00F931EF" w:rsidP="00F931EF">
            <w:pPr>
              <w:jc w:val="center"/>
              <w:rPr>
                <w:sz w:val="20"/>
                <w:szCs w:val="20"/>
              </w:rPr>
            </w:pPr>
            <w:r w:rsidRPr="00F931EF">
              <w:rPr>
                <w:rFonts w:eastAsia="Times New Roman"/>
                <w:w w:val="88"/>
                <w:sz w:val="16"/>
                <w:szCs w:val="16"/>
              </w:rPr>
              <w:t>+</w:t>
            </w:r>
          </w:p>
        </w:tc>
        <w:tc>
          <w:tcPr>
            <w:tcW w:w="724" w:type="dxa"/>
            <w:vAlign w:val="bottom"/>
          </w:tcPr>
          <w:p w:rsidR="00F931EF" w:rsidRPr="00F931EF" w:rsidRDefault="00F931EF" w:rsidP="00F931EF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vMerge w:val="restart"/>
            <w:vAlign w:val="bottom"/>
          </w:tcPr>
          <w:p w:rsidR="00F931EF" w:rsidRPr="00F931EF" w:rsidRDefault="00F931EF" w:rsidP="00F931EF">
            <w:pPr>
              <w:ind w:right="66"/>
              <w:jc w:val="right"/>
              <w:rPr>
                <w:sz w:val="20"/>
                <w:szCs w:val="20"/>
              </w:rPr>
            </w:pPr>
            <w:r w:rsidRPr="00F931EF">
              <w:rPr>
                <w:rFonts w:eastAsia="Times New Roman"/>
                <w:sz w:val="16"/>
                <w:szCs w:val="16"/>
              </w:rPr>
              <w:t>+</w:t>
            </w: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114"/>
        </w:trPr>
        <w:tc>
          <w:tcPr>
            <w:tcW w:w="3969" w:type="dxa"/>
            <w:vMerge w:val="restart"/>
            <w:vAlign w:val="bottom"/>
          </w:tcPr>
          <w:p w:rsidR="00F931EF" w:rsidRPr="00F931EF" w:rsidRDefault="00F931EF" w:rsidP="00F931EF">
            <w:pPr>
              <w:ind w:left="60"/>
              <w:rPr>
                <w:sz w:val="20"/>
                <w:szCs w:val="20"/>
              </w:rPr>
            </w:pP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рентабельності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(ROA, ROE), %</w:t>
            </w:r>
          </w:p>
        </w:tc>
        <w:tc>
          <w:tcPr>
            <w:tcW w:w="411" w:type="dxa"/>
            <w:vMerge/>
            <w:vAlign w:val="bottom"/>
          </w:tcPr>
          <w:p w:rsidR="00F931EF" w:rsidRPr="00F931EF" w:rsidRDefault="00F931EF" w:rsidP="00F931EF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/>
            <w:vAlign w:val="bottom"/>
          </w:tcPr>
          <w:p w:rsidR="00F931EF" w:rsidRPr="00F931EF" w:rsidRDefault="00F931EF" w:rsidP="00F931EF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F931EF" w:rsidRPr="00F931EF" w:rsidRDefault="00F931EF" w:rsidP="00F931EF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Merge/>
            <w:vAlign w:val="bottom"/>
          </w:tcPr>
          <w:p w:rsidR="00F931EF" w:rsidRPr="00F931EF" w:rsidRDefault="00F931EF" w:rsidP="00F931EF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Merge/>
            <w:vAlign w:val="bottom"/>
          </w:tcPr>
          <w:p w:rsidR="00F931EF" w:rsidRPr="00F931EF" w:rsidRDefault="00F931EF" w:rsidP="00F931EF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Merge/>
            <w:vAlign w:val="bottom"/>
          </w:tcPr>
          <w:p w:rsidR="00F931EF" w:rsidRPr="00F931EF" w:rsidRDefault="00F931EF" w:rsidP="00F931EF">
            <w:pPr>
              <w:rPr>
                <w:sz w:val="9"/>
                <w:szCs w:val="9"/>
              </w:rPr>
            </w:pPr>
          </w:p>
        </w:tc>
        <w:tc>
          <w:tcPr>
            <w:tcW w:w="724" w:type="dxa"/>
            <w:vAlign w:val="bottom"/>
          </w:tcPr>
          <w:p w:rsidR="00F931EF" w:rsidRPr="00F931EF" w:rsidRDefault="00F931EF" w:rsidP="00F931EF">
            <w:pPr>
              <w:rPr>
                <w:sz w:val="9"/>
                <w:szCs w:val="9"/>
              </w:rPr>
            </w:pPr>
          </w:p>
        </w:tc>
        <w:tc>
          <w:tcPr>
            <w:tcW w:w="356" w:type="dxa"/>
            <w:vMerge/>
            <w:vAlign w:val="bottom"/>
          </w:tcPr>
          <w:p w:rsidR="00F931EF" w:rsidRPr="00F931EF" w:rsidRDefault="00F931EF" w:rsidP="00F931EF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88"/>
        </w:trPr>
        <w:tc>
          <w:tcPr>
            <w:tcW w:w="3969" w:type="dxa"/>
            <w:vMerge/>
            <w:vAlign w:val="bottom"/>
          </w:tcPr>
          <w:p w:rsidR="00F931EF" w:rsidRPr="00F931EF" w:rsidRDefault="00F931EF" w:rsidP="00F931EF">
            <w:pPr>
              <w:rPr>
                <w:sz w:val="7"/>
                <w:szCs w:val="7"/>
              </w:rPr>
            </w:pPr>
          </w:p>
        </w:tc>
        <w:tc>
          <w:tcPr>
            <w:tcW w:w="411" w:type="dxa"/>
            <w:vAlign w:val="bottom"/>
          </w:tcPr>
          <w:p w:rsidR="00F931EF" w:rsidRPr="00F931EF" w:rsidRDefault="00F931EF" w:rsidP="00F931EF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:rsidR="00F931EF" w:rsidRPr="00F931EF" w:rsidRDefault="00F931EF" w:rsidP="00F931EF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F931EF" w:rsidRPr="00F931EF" w:rsidRDefault="00F931EF" w:rsidP="00F931EF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F931EF" w:rsidRPr="00F931EF" w:rsidRDefault="00F931EF" w:rsidP="00F931EF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F931EF" w:rsidRPr="00F931EF" w:rsidRDefault="00F931EF" w:rsidP="00F931EF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F931EF" w:rsidRPr="00F931EF" w:rsidRDefault="00F931EF" w:rsidP="00F931EF">
            <w:pPr>
              <w:rPr>
                <w:sz w:val="7"/>
                <w:szCs w:val="7"/>
              </w:rPr>
            </w:pPr>
          </w:p>
        </w:tc>
        <w:tc>
          <w:tcPr>
            <w:tcW w:w="724" w:type="dxa"/>
            <w:vAlign w:val="bottom"/>
          </w:tcPr>
          <w:p w:rsidR="00F931EF" w:rsidRPr="00F931EF" w:rsidRDefault="00F931EF" w:rsidP="00F931EF">
            <w:pPr>
              <w:rPr>
                <w:sz w:val="7"/>
                <w:szCs w:val="7"/>
              </w:rPr>
            </w:pPr>
          </w:p>
        </w:tc>
        <w:tc>
          <w:tcPr>
            <w:tcW w:w="356" w:type="dxa"/>
            <w:vAlign w:val="bottom"/>
          </w:tcPr>
          <w:p w:rsidR="00F931EF" w:rsidRPr="00F931EF" w:rsidRDefault="00F931EF" w:rsidP="00F931EF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202"/>
        </w:trPr>
        <w:tc>
          <w:tcPr>
            <w:tcW w:w="3969" w:type="dxa"/>
            <w:vAlign w:val="bottom"/>
          </w:tcPr>
          <w:p w:rsidR="00F931EF" w:rsidRPr="00F931EF" w:rsidRDefault="00F931EF" w:rsidP="00F931EF">
            <w:pPr>
              <w:ind w:left="60"/>
              <w:rPr>
                <w:sz w:val="20"/>
                <w:szCs w:val="20"/>
              </w:rPr>
            </w:pP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Якість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активі</w:t>
            </w:r>
            <w:proofErr w:type="gramStart"/>
            <w:r w:rsidRPr="00F931EF">
              <w:rPr>
                <w:rFonts w:eastAsia="Times New Roman"/>
                <w:sz w:val="16"/>
                <w:szCs w:val="16"/>
              </w:rPr>
              <w:t>в</w:t>
            </w:r>
            <w:proofErr w:type="spellEnd"/>
            <w:proofErr w:type="gramEnd"/>
          </w:p>
        </w:tc>
        <w:tc>
          <w:tcPr>
            <w:tcW w:w="411" w:type="dxa"/>
            <w:vAlign w:val="bottom"/>
          </w:tcPr>
          <w:p w:rsidR="00F931EF" w:rsidRPr="00F931EF" w:rsidRDefault="00F931EF" w:rsidP="00F931EF">
            <w:pPr>
              <w:jc w:val="center"/>
              <w:rPr>
                <w:sz w:val="20"/>
                <w:szCs w:val="20"/>
              </w:rPr>
            </w:pPr>
            <w:r w:rsidRPr="00F931EF">
              <w:rPr>
                <w:rFonts w:eastAsia="Times New Roman"/>
                <w:w w:val="88"/>
                <w:sz w:val="16"/>
                <w:szCs w:val="16"/>
              </w:rPr>
              <w:t>+</w:t>
            </w:r>
          </w:p>
        </w:tc>
        <w:tc>
          <w:tcPr>
            <w:tcW w:w="44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F931EF" w:rsidRPr="00F931EF" w:rsidRDefault="00F931EF" w:rsidP="00F931EF">
            <w:pPr>
              <w:jc w:val="center"/>
              <w:rPr>
                <w:sz w:val="20"/>
                <w:szCs w:val="20"/>
              </w:rPr>
            </w:pPr>
            <w:r w:rsidRPr="00F931EF">
              <w:rPr>
                <w:rFonts w:eastAsia="Times New Roman"/>
                <w:sz w:val="16"/>
                <w:szCs w:val="16"/>
              </w:rPr>
              <w:t>+</w:t>
            </w:r>
          </w:p>
        </w:tc>
        <w:tc>
          <w:tcPr>
            <w:tcW w:w="28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724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56" w:type="dxa"/>
            <w:vAlign w:val="bottom"/>
          </w:tcPr>
          <w:p w:rsidR="00F931EF" w:rsidRPr="00F931EF" w:rsidRDefault="00F931EF" w:rsidP="00F931EF">
            <w:pPr>
              <w:ind w:right="66"/>
              <w:jc w:val="right"/>
              <w:rPr>
                <w:sz w:val="20"/>
                <w:szCs w:val="20"/>
              </w:rPr>
            </w:pPr>
            <w:r w:rsidRPr="00F931EF">
              <w:rPr>
                <w:rFonts w:eastAsia="Times New Roman"/>
                <w:sz w:val="16"/>
                <w:szCs w:val="16"/>
              </w:rPr>
              <w:t>+</w:t>
            </w: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202"/>
        </w:trPr>
        <w:tc>
          <w:tcPr>
            <w:tcW w:w="3969" w:type="dxa"/>
            <w:vAlign w:val="bottom"/>
          </w:tcPr>
          <w:p w:rsidR="00F931EF" w:rsidRPr="00F931EF" w:rsidRDefault="00F931EF" w:rsidP="00F931EF">
            <w:pPr>
              <w:ind w:left="60"/>
              <w:rPr>
                <w:sz w:val="20"/>
                <w:szCs w:val="20"/>
              </w:rPr>
            </w:pP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Плинність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кадрі</w:t>
            </w:r>
            <w:proofErr w:type="gramStart"/>
            <w:r w:rsidRPr="00F931EF">
              <w:rPr>
                <w:rFonts w:eastAsia="Times New Roman"/>
                <w:sz w:val="16"/>
                <w:szCs w:val="16"/>
              </w:rPr>
              <w:t>в</w:t>
            </w:r>
            <w:proofErr w:type="spellEnd"/>
            <w:proofErr w:type="gramEnd"/>
            <w:r w:rsidRPr="00F931EF">
              <w:rPr>
                <w:rFonts w:eastAsia="Times New Roman"/>
                <w:sz w:val="16"/>
                <w:szCs w:val="16"/>
              </w:rPr>
              <w:t>*</w:t>
            </w:r>
          </w:p>
        </w:tc>
        <w:tc>
          <w:tcPr>
            <w:tcW w:w="411" w:type="dxa"/>
            <w:vAlign w:val="bottom"/>
          </w:tcPr>
          <w:p w:rsidR="00F931EF" w:rsidRPr="00F931EF" w:rsidRDefault="00F931EF" w:rsidP="00F931EF">
            <w:pPr>
              <w:jc w:val="center"/>
              <w:rPr>
                <w:sz w:val="20"/>
                <w:szCs w:val="20"/>
              </w:rPr>
            </w:pPr>
            <w:r w:rsidRPr="00F931EF">
              <w:rPr>
                <w:rFonts w:eastAsia="Times New Roman"/>
                <w:w w:val="88"/>
                <w:sz w:val="16"/>
                <w:szCs w:val="16"/>
              </w:rPr>
              <w:t>+</w:t>
            </w:r>
          </w:p>
        </w:tc>
        <w:tc>
          <w:tcPr>
            <w:tcW w:w="44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724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56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192"/>
        </w:trPr>
        <w:tc>
          <w:tcPr>
            <w:tcW w:w="3969" w:type="dxa"/>
            <w:vAlign w:val="bottom"/>
          </w:tcPr>
          <w:p w:rsidR="00F931EF" w:rsidRPr="00F931EF" w:rsidRDefault="00F931EF" w:rsidP="00F931EF">
            <w:pPr>
              <w:ind w:left="60"/>
              <w:rPr>
                <w:sz w:val="20"/>
                <w:szCs w:val="20"/>
              </w:rPr>
            </w:pPr>
            <w:r w:rsidRPr="00F931EF">
              <w:rPr>
                <w:rFonts w:eastAsia="Times New Roman"/>
                <w:sz w:val="16"/>
                <w:szCs w:val="16"/>
              </w:rPr>
              <w:t xml:space="preserve">Норматив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використання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власного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капіталу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банкі</w:t>
            </w:r>
            <w:proofErr w:type="gramStart"/>
            <w:r w:rsidRPr="00F931EF">
              <w:rPr>
                <w:rFonts w:eastAsia="Times New Roman"/>
                <w:sz w:val="16"/>
                <w:szCs w:val="16"/>
              </w:rPr>
              <w:t>в</w:t>
            </w:r>
            <w:proofErr w:type="spellEnd"/>
            <w:proofErr w:type="gramEnd"/>
            <w:r w:rsidRPr="00F931EF">
              <w:rPr>
                <w:rFonts w:eastAsia="Times New Roman"/>
                <w:sz w:val="16"/>
                <w:szCs w:val="16"/>
              </w:rPr>
              <w:t xml:space="preserve"> для</w:t>
            </w:r>
          </w:p>
        </w:tc>
        <w:tc>
          <w:tcPr>
            <w:tcW w:w="411" w:type="dxa"/>
            <w:vMerge w:val="restart"/>
            <w:vAlign w:val="bottom"/>
          </w:tcPr>
          <w:p w:rsidR="00F931EF" w:rsidRPr="00F931EF" w:rsidRDefault="00F931EF" w:rsidP="00F931EF">
            <w:pPr>
              <w:jc w:val="center"/>
              <w:rPr>
                <w:sz w:val="20"/>
                <w:szCs w:val="20"/>
              </w:rPr>
            </w:pPr>
            <w:r w:rsidRPr="00F931EF">
              <w:rPr>
                <w:rFonts w:eastAsia="Times New Roman"/>
                <w:w w:val="88"/>
                <w:sz w:val="16"/>
                <w:szCs w:val="16"/>
              </w:rPr>
              <w:t>+</w:t>
            </w:r>
          </w:p>
        </w:tc>
        <w:tc>
          <w:tcPr>
            <w:tcW w:w="440" w:type="dxa"/>
            <w:vAlign w:val="bottom"/>
          </w:tcPr>
          <w:p w:rsidR="00F931EF" w:rsidRPr="00F931EF" w:rsidRDefault="00F931EF" w:rsidP="00F931EF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F931EF" w:rsidRPr="00F931EF" w:rsidRDefault="00F931EF" w:rsidP="00F931EF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F931EF" w:rsidRPr="00F931EF" w:rsidRDefault="00F931EF" w:rsidP="00F931EF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931EF" w:rsidRPr="00F931EF" w:rsidRDefault="00F931EF" w:rsidP="00F931EF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931EF" w:rsidRPr="00F931EF" w:rsidRDefault="00F931EF" w:rsidP="00F931EF">
            <w:pPr>
              <w:rPr>
                <w:sz w:val="16"/>
                <w:szCs w:val="16"/>
              </w:rPr>
            </w:pPr>
          </w:p>
        </w:tc>
        <w:tc>
          <w:tcPr>
            <w:tcW w:w="724" w:type="dxa"/>
            <w:vAlign w:val="bottom"/>
          </w:tcPr>
          <w:p w:rsidR="00F931EF" w:rsidRPr="00F931EF" w:rsidRDefault="00F931EF" w:rsidP="00F931EF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bottom"/>
          </w:tcPr>
          <w:p w:rsidR="00F931EF" w:rsidRPr="00F931EF" w:rsidRDefault="00F931EF" w:rsidP="00F931EF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114"/>
        </w:trPr>
        <w:tc>
          <w:tcPr>
            <w:tcW w:w="3969" w:type="dxa"/>
            <w:vMerge w:val="restart"/>
            <w:vAlign w:val="bottom"/>
          </w:tcPr>
          <w:p w:rsidR="00F931EF" w:rsidRPr="00F931EF" w:rsidRDefault="00F931EF" w:rsidP="00F931EF">
            <w:pPr>
              <w:ind w:left="60"/>
              <w:rPr>
                <w:sz w:val="20"/>
                <w:szCs w:val="20"/>
              </w:rPr>
            </w:pP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придбання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акцій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юр. </w:t>
            </w:r>
            <w:proofErr w:type="spellStart"/>
            <w:proofErr w:type="gramStart"/>
            <w:r w:rsidRPr="00F931EF">
              <w:rPr>
                <w:rFonts w:eastAsia="Times New Roman"/>
                <w:sz w:val="16"/>
                <w:szCs w:val="16"/>
              </w:rPr>
              <w:t>осіб</w:t>
            </w:r>
            <w:proofErr w:type="spellEnd"/>
            <w:proofErr w:type="gramEnd"/>
            <w:r w:rsidRPr="00F931EF">
              <w:rPr>
                <w:rFonts w:eastAsia="Times New Roman"/>
                <w:sz w:val="16"/>
                <w:szCs w:val="16"/>
              </w:rPr>
              <w:t>, %*</w:t>
            </w:r>
          </w:p>
        </w:tc>
        <w:tc>
          <w:tcPr>
            <w:tcW w:w="411" w:type="dxa"/>
            <w:vMerge/>
            <w:vAlign w:val="bottom"/>
          </w:tcPr>
          <w:p w:rsidR="00F931EF" w:rsidRPr="00F931EF" w:rsidRDefault="00F931EF" w:rsidP="00F931EF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:rsidR="00F931EF" w:rsidRPr="00F931EF" w:rsidRDefault="00F931EF" w:rsidP="00F931EF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F931EF" w:rsidRPr="00F931EF" w:rsidRDefault="00F931EF" w:rsidP="00F931EF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F931EF" w:rsidRPr="00F931EF" w:rsidRDefault="00F931EF" w:rsidP="00F931EF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F931EF" w:rsidRPr="00F931EF" w:rsidRDefault="00F931EF" w:rsidP="00F931EF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F931EF" w:rsidRPr="00F931EF" w:rsidRDefault="00F931EF" w:rsidP="00F931EF">
            <w:pPr>
              <w:rPr>
                <w:sz w:val="9"/>
                <w:szCs w:val="9"/>
              </w:rPr>
            </w:pPr>
          </w:p>
        </w:tc>
        <w:tc>
          <w:tcPr>
            <w:tcW w:w="724" w:type="dxa"/>
            <w:vAlign w:val="bottom"/>
          </w:tcPr>
          <w:p w:rsidR="00F931EF" w:rsidRPr="00F931EF" w:rsidRDefault="00F931EF" w:rsidP="00F931EF">
            <w:pPr>
              <w:rPr>
                <w:sz w:val="9"/>
                <w:szCs w:val="9"/>
              </w:rPr>
            </w:pPr>
          </w:p>
        </w:tc>
        <w:tc>
          <w:tcPr>
            <w:tcW w:w="356" w:type="dxa"/>
            <w:vAlign w:val="bottom"/>
          </w:tcPr>
          <w:p w:rsidR="00F931EF" w:rsidRPr="00F931EF" w:rsidRDefault="00F931EF" w:rsidP="00F931EF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88"/>
        </w:trPr>
        <w:tc>
          <w:tcPr>
            <w:tcW w:w="3969" w:type="dxa"/>
            <w:vMerge/>
            <w:vAlign w:val="bottom"/>
          </w:tcPr>
          <w:p w:rsidR="00F931EF" w:rsidRPr="00F931EF" w:rsidRDefault="00F931EF" w:rsidP="00F931EF">
            <w:pPr>
              <w:rPr>
                <w:sz w:val="7"/>
                <w:szCs w:val="7"/>
              </w:rPr>
            </w:pPr>
          </w:p>
        </w:tc>
        <w:tc>
          <w:tcPr>
            <w:tcW w:w="411" w:type="dxa"/>
            <w:vAlign w:val="bottom"/>
          </w:tcPr>
          <w:p w:rsidR="00F931EF" w:rsidRPr="00F931EF" w:rsidRDefault="00F931EF" w:rsidP="00F931EF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:rsidR="00F931EF" w:rsidRPr="00F931EF" w:rsidRDefault="00F931EF" w:rsidP="00F931EF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F931EF" w:rsidRPr="00F931EF" w:rsidRDefault="00F931EF" w:rsidP="00F931EF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F931EF" w:rsidRPr="00F931EF" w:rsidRDefault="00F931EF" w:rsidP="00F931EF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F931EF" w:rsidRPr="00F931EF" w:rsidRDefault="00F931EF" w:rsidP="00F931EF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F931EF" w:rsidRPr="00F931EF" w:rsidRDefault="00F931EF" w:rsidP="00F931EF">
            <w:pPr>
              <w:rPr>
                <w:sz w:val="7"/>
                <w:szCs w:val="7"/>
              </w:rPr>
            </w:pPr>
          </w:p>
        </w:tc>
        <w:tc>
          <w:tcPr>
            <w:tcW w:w="724" w:type="dxa"/>
            <w:vAlign w:val="bottom"/>
          </w:tcPr>
          <w:p w:rsidR="00F931EF" w:rsidRPr="00F931EF" w:rsidRDefault="00F931EF" w:rsidP="00F931EF">
            <w:pPr>
              <w:rPr>
                <w:sz w:val="7"/>
                <w:szCs w:val="7"/>
              </w:rPr>
            </w:pPr>
          </w:p>
        </w:tc>
        <w:tc>
          <w:tcPr>
            <w:tcW w:w="356" w:type="dxa"/>
            <w:vAlign w:val="bottom"/>
          </w:tcPr>
          <w:p w:rsidR="00F931EF" w:rsidRPr="00F931EF" w:rsidRDefault="00F931EF" w:rsidP="00F931EF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202"/>
        </w:trPr>
        <w:tc>
          <w:tcPr>
            <w:tcW w:w="3969" w:type="dxa"/>
            <w:vAlign w:val="bottom"/>
          </w:tcPr>
          <w:p w:rsidR="00F931EF" w:rsidRPr="00F931EF" w:rsidRDefault="00F931EF" w:rsidP="00F931EF">
            <w:pPr>
              <w:ind w:left="60"/>
              <w:rPr>
                <w:sz w:val="20"/>
                <w:szCs w:val="20"/>
              </w:rPr>
            </w:pPr>
            <w:proofErr w:type="spellStart"/>
            <w:r w:rsidRPr="00F931EF">
              <w:rPr>
                <w:rFonts w:eastAsia="Times New Roman"/>
                <w:w w:val="98"/>
                <w:sz w:val="16"/>
                <w:szCs w:val="16"/>
              </w:rPr>
              <w:t>Коефіцієнт</w:t>
            </w:r>
            <w:proofErr w:type="spellEnd"/>
            <w:r w:rsidRPr="00F931EF">
              <w:rPr>
                <w:rFonts w:eastAsia="Times New Roman"/>
                <w:w w:val="98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w w:val="98"/>
                <w:sz w:val="16"/>
                <w:szCs w:val="16"/>
              </w:rPr>
              <w:t>фондування</w:t>
            </w:r>
            <w:proofErr w:type="spellEnd"/>
            <w:r w:rsidRPr="00F931EF">
              <w:rPr>
                <w:rFonts w:eastAsia="Times New Roman"/>
                <w:w w:val="98"/>
                <w:sz w:val="16"/>
                <w:szCs w:val="16"/>
              </w:rPr>
              <w:t xml:space="preserve"> в </w:t>
            </w:r>
            <w:proofErr w:type="spellStart"/>
            <w:r w:rsidRPr="00F931EF">
              <w:rPr>
                <w:rFonts w:eastAsia="Times New Roman"/>
                <w:w w:val="98"/>
                <w:sz w:val="16"/>
                <w:szCs w:val="16"/>
              </w:rPr>
              <w:t>національній</w:t>
            </w:r>
            <w:proofErr w:type="spellEnd"/>
            <w:r w:rsidRPr="00F931EF">
              <w:rPr>
                <w:rFonts w:eastAsia="Times New Roman"/>
                <w:w w:val="98"/>
                <w:sz w:val="16"/>
                <w:szCs w:val="16"/>
              </w:rPr>
              <w:t xml:space="preserve"> і </w:t>
            </w:r>
            <w:proofErr w:type="spellStart"/>
            <w:r w:rsidRPr="00F931EF">
              <w:rPr>
                <w:rFonts w:eastAsia="Times New Roman"/>
                <w:w w:val="98"/>
                <w:sz w:val="16"/>
                <w:szCs w:val="16"/>
              </w:rPr>
              <w:t>іноземній</w:t>
            </w:r>
            <w:proofErr w:type="spellEnd"/>
            <w:r w:rsidRPr="00F931EF">
              <w:rPr>
                <w:rFonts w:eastAsia="Times New Roman"/>
                <w:w w:val="98"/>
                <w:sz w:val="16"/>
                <w:szCs w:val="16"/>
              </w:rPr>
              <w:t xml:space="preserve"> валютах*</w:t>
            </w:r>
          </w:p>
        </w:tc>
        <w:tc>
          <w:tcPr>
            <w:tcW w:w="411" w:type="dxa"/>
            <w:vAlign w:val="bottom"/>
          </w:tcPr>
          <w:p w:rsidR="00F931EF" w:rsidRPr="00F931EF" w:rsidRDefault="00F931EF" w:rsidP="00F931EF">
            <w:pPr>
              <w:jc w:val="center"/>
              <w:rPr>
                <w:sz w:val="20"/>
                <w:szCs w:val="20"/>
              </w:rPr>
            </w:pPr>
            <w:r w:rsidRPr="00F931EF">
              <w:rPr>
                <w:rFonts w:eastAsia="Times New Roman"/>
                <w:w w:val="88"/>
                <w:sz w:val="16"/>
                <w:szCs w:val="16"/>
              </w:rPr>
              <w:t>+</w:t>
            </w:r>
          </w:p>
        </w:tc>
        <w:tc>
          <w:tcPr>
            <w:tcW w:w="44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724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56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202"/>
        </w:trPr>
        <w:tc>
          <w:tcPr>
            <w:tcW w:w="3969" w:type="dxa"/>
            <w:vAlign w:val="bottom"/>
          </w:tcPr>
          <w:p w:rsidR="00F931EF" w:rsidRPr="00F931EF" w:rsidRDefault="00F931EF" w:rsidP="00F931EF">
            <w:pPr>
              <w:ind w:left="60"/>
              <w:rPr>
                <w:sz w:val="20"/>
                <w:szCs w:val="20"/>
              </w:rPr>
            </w:pPr>
            <w:proofErr w:type="spellStart"/>
            <w:proofErr w:type="gramStart"/>
            <w:r w:rsidRPr="00F931EF">
              <w:rPr>
                <w:rFonts w:eastAsia="Times New Roman"/>
                <w:sz w:val="16"/>
                <w:szCs w:val="16"/>
              </w:rPr>
              <w:t>Р</w:t>
            </w:r>
            <w:proofErr w:type="gramEnd"/>
            <w:r w:rsidRPr="00F931EF">
              <w:rPr>
                <w:rFonts w:eastAsia="Times New Roman"/>
                <w:sz w:val="16"/>
                <w:szCs w:val="16"/>
              </w:rPr>
              <w:t>івень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процентної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маржі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(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кредити-депозити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>), %</w:t>
            </w:r>
          </w:p>
        </w:tc>
        <w:tc>
          <w:tcPr>
            <w:tcW w:w="411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F931EF" w:rsidRPr="00F931EF" w:rsidRDefault="00F931EF" w:rsidP="00F931EF">
            <w:pPr>
              <w:jc w:val="center"/>
              <w:rPr>
                <w:sz w:val="20"/>
                <w:szCs w:val="20"/>
              </w:rPr>
            </w:pPr>
            <w:r w:rsidRPr="00F931EF">
              <w:rPr>
                <w:rFonts w:eastAsia="Times New Roman"/>
                <w:w w:val="88"/>
                <w:sz w:val="16"/>
                <w:szCs w:val="16"/>
              </w:rPr>
              <w:t>+</w:t>
            </w:r>
          </w:p>
        </w:tc>
        <w:tc>
          <w:tcPr>
            <w:tcW w:w="42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F931EF" w:rsidRPr="00F931EF" w:rsidRDefault="00F931EF" w:rsidP="00F931EF">
            <w:pPr>
              <w:jc w:val="center"/>
              <w:rPr>
                <w:sz w:val="20"/>
                <w:szCs w:val="20"/>
              </w:rPr>
            </w:pPr>
            <w:r w:rsidRPr="00F931EF">
              <w:rPr>
                <w:rFonts w:eastAsia="Times New Roman"/>
                <w:w w:val="88"/>
                <w:sz w:val="16"/>
                <w:szCs w:val="16"/>
              </w:rPr>
              <w:t>+</w:t>
            </w:r>
          </w:p>
        </w:tc>
        <w:tc>
          <w:tcPr>
            <w:tcW w:w="30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724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56" w:type="dxa"/>
            <w:vAlign w:val="bottom"/>
          </w:tcPr>
          <w:p w:rsidR="00F931EF" w:rsidRPr="00F931EF" w:rsidRDefault="00F931EF" w:rsidP="00F931EF">
            <w:pPr>
              <w:ind w:right="66"/>
              <w:jc w:val="right"/>
              <w:rPr>
                <w:sz w:val="20"/>
                <w:szCs w:val="20"/>
              </w:rPr>
            </w:pPr>
            <w:r w:rsidRPr="00F931EF">
              <w:rPr>
                <w:rFonts w:eastAsia="Times New Roman"/>
                <w:sz w:val="16"/>
                <w:szCs w:val="16"/>
              </w:rPr>
              <w:t>+</w:t>
            </w: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202"/>
        </w:trPr>
        <w:tc>
          <w:tcPr>
            <w:tcW w:w="3969" w:type="dxa"/>
            <w:vAlign w:val="bottom"/>
          </w:tcPr>
          <w:p w:rsidR="00F931EF" w:rsidRPr="00F931EF" w:rsidRDefault="00F931EF" w:rsidP="00F931EF">
            <w:pPr>
              <w:ind w:left="60"/>
              <w:rPr>
                <w:sz w:val="20"/>
                <w:szCs w:val="20"/>
              </w:rPr>
            </w:pP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Ефективність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роботи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з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процентними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коштами*</w:t>
            </w:r>
          </w:p>
        </w:tc>
        <w:tc>
          <w:tcPr>
            <w:tcW w:w="411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F931EF" w:rsidRPr="00F931EF" w:rsidRDefault="00F931EF" w:rsidP="00F931EF">
            <w:pPr>
              <w:jc w:val="center"/>
              <w:rPr>
                <w:sz w:val="20"/>
                <w:szCs w:val="20"/>
              </w:rPr>
            </w:pPr>
            <w:r w:rsidRPr="00F931EF">
              <w:rPr>
                <w:rFonts w:eastAsia="Times New Roman"/>
                <w:w w:val="88"/>
                <w:sz w:val="16"/>
                <w:szCs w:val="16"/>
              </w:rPr>
              <w:t>+</w:t>
            </w:r>
          </w:p>
        </w:tc>
        <w:tc>
          <w:tcPr>
            <w:tcW w:w="42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724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56" w:type="dxa"/>
            <w:vAlign w:val="bottom"/>
          </w:tcPr>
          <w:p w:rsidR="00F931EF" w:rsidRPr="00F931EF" w:rsidRDefault="00F931EF" w:rsidP="00F931EF">
            <w:pPr>
              <w:ind w:right="66"/>
              <w:jc w:val="right"/>
              <w:rPr>
                <w:sz w:val="20"/>
                <w:szCs w:val="20"/>
              </w:rPr>
            </w:pPr>
            <w:r w:rsidRPr="00F931EF">
              <w:rPr>
                <w:rFonts w:eastAsia="Times New Roman"/>
                <w:sz w:val="16"/>
                <w:szCs w:val="16"/>
              </w:rPr>
              <w:t>+</w:t>
            </w: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202"/>
        </w:trPr>
        <w:tc>
          <w:tcPr>
            <w:tcW w:w="3969" w:type="dxa"/>
            <w:vAlign w:val="bottom"/>
          </w:tcPr>
          <w:p w:rsidR="00F931EF" w:rsidRPr="00F931EF" w:rsidRDefault="00F931EF" w:rsidP="00F931EF">
            <w:pPr>
              <w:ind w:left="60"/>
              <w:rPr>
                <w:sz w:val="20"/>
                <w:szCs w:val="20"/>
              </w:rPr>
            </w:pP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Ефективність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комісійної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діяльності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*</w:t>
            </w:r>
          </w:p>
        </w:tc>
        <w:tc>
          <w:tcPr>
            <w:tcW w:w="411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F931EF" w:rsidRPr="00F931EF" w:rsidRDefault="00F931EF" w:rsidP="00F931EF">
            <w:pPr>
              <w:jc w:val="center"/>
              <w:rPr>
                <w:sz w:val="20"/>
                <w:szCs w:val="20"/>
              </w:rPr>
            </w:pPr>
            <w:r w:rsidRPr="00F931EF">
              <w:rPr>
                <w:rFonts w:eastAsia="Times New Roman"/>
                <w:w w:val="88"/>
                <w:sz w:val="16"/>
                <w:szCs w:val="16"/>
              </w:rPr>
              <w:t>+</w:t>
            </w:r>
          </w:p>
        </w:tc>
        <w:tc>
          <w:tcPr>
            <w:tcW w:w="42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724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56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202"/>
        </w:trPr>
        <w:tc>
          <w:tcPr>
            <w:tcW w:w="3969" w:type="dxa"/>
            <w:vAlign w:val="bottom"/>
          </w:tcPr>
          <w:p w:rsidR="00F931EF" w:rsidRPr="00F931EF" w:rsidRDefault="00F931EF" w:rsidP="00F931EF">
            <w:pPr>
              <w:ind w:left="60"/>
              <w:rPr>
                <w:sz w:val="20"/>
                <w:szCs w:val="20"/>
              </w:rPr>
            </w:pP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Прибуток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на одного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співробітника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>*</w:t>
            </w:r>
          </w:p>
        </w:tc>
        <w:tc>
          <w:tcPr>
            <w:tcW w:w="411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F931EF" w:rsidRPr="00F931EF" w:rsidRDefault="00F931EF" w:rsidP="00F931EF">
            <w:pPr>
              <w:jc w:val="center"/>
              <w:rPr>
                <w:sz w:val="20"/>
                <w:szCs w:val="20"/>
              </w:rPr>
            </w:pPr>
            <w:r w:rsidRPr="00F931EF">
              <w:rPr>
                <w:rFonts w:eastAsia="Times New Roman"/>
                <w:w w:val="88"/>
                <w:sz w:val="16"/>
                <w:szCs w:val="16"/>
              </w:rPr>
              <w:t>+</w:t>
            </w:r>
          </w:p>
        </w:tc>
        <w:tc>
          <w:tcPr>
            <w:tcW w:w="42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724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56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202"/>
        </w:trPr>
        <w:tc>
          <w:tcPr>
            <w:tcW w:w="3969" w:type="dxa"/>
            <w:vAlign w:val="bottom"/>
          </w:tcPr>
          <w:p w:rsidR="00F931EF" w:rsidRPr="00F931EF" w:rsidRDefault="00F931EF" w:rsidP="00F931EF">
            <w:pPr>
              <w:ind w:left="60"/>
              <w:rPr>
                <w:sz w:val="20"/>
                <w:szCs w:val="20"/>
              </w:rPr>
            </w:pPr>
            <w:proofErr w:type="spellStart"/>
            <w:proofErr w:type="gramStart"/>
            <w:r w:rsidRPr="00F931EF">
              <w:rPr>
                <w:rFonts w:eastAsia="Times New Roman"/>
                <w:sz w:val="16"/>
                <w:szCs w:val="16"/>
              </w:rPr>
              <w:t>Р</w:t>
            </w:r>
            <w:proofErr w:type="gramEnd"/>
            <w:r w:rsidRPr="00F931EF">
              <w:rPr>
                <w:rFonts w:eastAsia="Times New Roman"/>
                <w:sz w:val="16"/>
                <w:szCs w:val="16"/>
              </w:rPr>
              <w:t>івень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проблемних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кредитів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>, %</w:t>
            </w:r>
          </w:p>
        </w:tc>
        <w:tc>
          <w:tcPr>
            <w:tcW w:w="411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F931EF" w:rsidRPr="00F931EF" w:rsidRDefault="00F931EF" w:rsidP="00F931EF">
            <w:pPr>
              <w:jc w:val="center"/>
              <w:rPr>
                <w:sz w:val="20"/>
                <w:szCs w:val="20"/>
              </w:rPr>
            </w:pPr>
            <w:r w:rsidRPr="00F931EF">
              <w:rPr>
                <w:rFonts w:eastAsia="Times New Roman"/>
                <w:w w:val="88"/>
                <w:sz w:val="16"/>
                <w:szCs w:val="16"/>
              </w:rPr>
              <w:t>+</w:t>
            </w:r>
          </w:p>
        </w:tc>
        <w:tc>
          <w:tcPr>
            <w:tcW w:w="42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F931EF" w:rsidRPr="00F931EF" w:rsidRDefault="00F931EF" w:rsidP="00F931EF">
            <w:pPr>
              <w:jc w:val="center"/>
              <w:rPr>
                <w:sz w:val="20"/>
                <w:szCs w:val="20"/>
              </w:rPr>
            </w:pPr>
            <w:r w:rsidRPr="00F931EF">
              <w:rPr>
                <w:rFonts w:eastAsia="Times New Roman"/>
                <w:w w:val="88"/>
                <w:sz w:val="16"/>
                <w:szCs w:val="16"/>
              </w:rPr>
              <w:t>+</w:t>
            </w:r>
          </w:p>
        </w:tc>
        <w:tc>
          <w:tcPr>
            <w:tcW w:w="300" w:type="dxa"/>
            <w:vAlign w:val="bottom"/>
          </w:tcPr>
          <w:p w:rsidR="00F931EF" w:rsidRPr="00F931EF" w:rsidRDefault="00F931EF" w:rsidP="00F931EF">
            <w:pPr>
              <w:jc w:val="center"/>
              <w:rPr>
                <w:sz w:val="20"/>
                <w:szCs w:val="20"/>
              </w:rPr>
            </w:pPr>
            <w:r w:rsidRPr="00F931EF">
              <w:rPr>
                <w:rFonts w:eastAsia="Times New Roman"/>
                <w:w w:val="88"/>
                <w:sz w:val="16"/>
                <w:szCs w:val="16"/>
              </w:rPr>
              <w:t>+</w:t>
            </w:r>
          </w:p>
        </w:tc>
        <w:tc>
          <w:tcPr>
            <w:tcW w:w="724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56" w:type="dxa"/>
            <w:vAlign w:val="bottom"/>
          </w:tcPr>
          <w:p w:rsidR="00F931EF" w:rsidRPr="00F931EF" w:rsidRDefault="00F931EF" w:rsidP="00F931EF">
            <w:pPr>
              <w:ind w:right="66"/>
              <w:jc w:val="right"/>
              <w:rPr>
                <w:sz w:val="20"/>
                <w:szCs w:val="20"/>
              </w:rPr>
            </w:pPr>
            <w:r w:rsidRPr="00F931EF">
              <w:rPr>
                <w:rFonts w:eastAsia="Times New Roman"/>
                <w:sz w:val="16"/>
                <w:szCs w:val="16"/>
              </w:rPr>
              <w:t>+</w:t>
            </w: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202"/>
        </w:trPr>
        <w:tc>
          <w:tcPr>
            <w:tcW w:w="3969" w:type="dxa"/>
            <w:vAlign w:val="bottom"/>
          </w:tcPr>
          <w:p w:rsidR="00F931EF" w:rsidRPr="00F931EF" w:rsidRDefault="00F931EF" w:rsidP="00F931EF">
            <w:pPr>
              <w:ind w:left="60"/>
              <w:rPr>
                <w:sz w:val="20"/>
                <w:szCs w:val="20"/>
              </w:rPr>
            </w:pP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Коефіцієнти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кредитних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ризиків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>, %</w:t>
            </w:r>
          </w:p>
        </w:tc>
        <w:tc>
          <w:tcPr>
            <w:tcW w:w="411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F931EF" w:rsidRPr="00F931EF" w:rsidRDefault="00F931EF" w:rsidP="00F931EF">
            <w:pPr>
              <w:jc w:val="center"/>
              <w:rPr>
                <w:sz w:val="20"/>
                <w:szCs w:val="20"/>
              </w:rPr>
            </w:pPr>
            <w:r w:rsidRPr="00F931EF">
              <w:rPr>
                <w:rFonts w:eastAsia="Times New Roman"/>
                <w:w w:val="88"/>
                <w:sz w:val="16"/>
                <w:szCs w:val="16"/>
              </w:rPr>
              <w:t>+</w:t>
            </w:r>
          </w:p>
        </w:tc>
        <w:tc>
          <w:tcPr>
            <w:tcW w:w="42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F931EF" w:rsidRPr="00F931EF" w:rsidRDefault="00F931EF" w:rsidP="00F931EF">
            <w:pPr>
              <w:jc w:val="center"/>
              <w:rPr>
                <w:sz w:val="20"/>
                <w:szCs w:val="20"/>
              </w:rPr>
            </w:pPr>
            <w:r w:rsidRPr="00F931EF">
              <w:rPr>
                <w:rFonts w:eastAsia="Times New Roman"/>
                <w:sz w:val="16"/>
                <w:szCs w:val="16"/>
              </w:rPr>
              <w:t>+</w:t>
            </w:r>
          </w:p>
        </w:tc>
        <w:tc>
          <w:tcPr>
            <w:tcW w:w="280" w:type="dxa"/>
            <w:vAlign w:val="bottom"/>
          </w:tcPr>
          <w:p w:rsidR="00F931EF" w:rsidRPr="00F931EF" w:rsidRDefault="00F931EF" w:rsidP="00F931EF">
            <w:pPr>
              <w:jc w:val="center"/>
              <w:rPr>
                <w:sz w:val="20"/>
                <w:szCs w:val="20"/>
              </w:rPr>
            </w:pPr>
            <w:r w:rsidRPr="00F931EF">
              <w:rPr>
                <w:rFonts w:eastAsia="Times New Roman"/>
                <w:w w:val="88"/>
                <w:sz w:val="16"/>
                <w:szCs w:val="16"/>
              </w:rPr>
              <w:t>+</w:t>
            </w:r>
          </w:p>
        </w:tc>
        <w:tc>
          <w:tcPr>
            <w:tcW w:w="300" w:type="dxa"/>
            <w:vAlign w:val="bottom"/>
          </w:tcPr>
          <w:p w:rsidR="00F931EF" w:rsidRPr="00F931EF" w:rsidRDefault="00F931EF" w:rsidP="00F931EF">
            <w:pPr>
              <w:jc w:val="center"/>
              <w:rPr>
                <w:sz w:val="20"/>
                <w:szCs w:val="20"/>
              </w:rPr>
            </w:pPr>
            <w:r w:rsidRPr="00F931EF">
              <w:rPr>
                <w:rFonts w:eastAsia="Times New Roman"/>
                <w:w w:val="88"/>
                <w:sz w:val="16"/>
                <w:szCs w:val="16"/>
              </w:rPr>
              <w:t>+</w:t>
            </w:r>
          </w:p>
        </w:tc>
        <w:tc>
          <w:tcPr>
            <w:tcW w:w="724" w:type="dxa"/>
            <w:vAlign w:val="bottom"/>
          </w:tcPr>
          <w:p w:rsidR="00F931EF" w:rsidRPr="00F931EF" w:rsidRDefault="00F931EF" w:rsidP="00F931EF">
            <w:pPr>
              <w:ind w:right="325"/>
              <w:jc w:val="right"/>
              <w:rPr>
                <w:sz w:val="20"/>
                <w:szCs w:val="20"/>
              </w:rPr>
            </w:pPr>
            <w:r w:rsidRPr="00F931EF">
              <w:rPr>
                <w:rFonts w:eastAsia="Times New Roman"/>
                <w:sz w:val="16"/>
                <w:szCs w:val="16"/>
              </w:rPr>
              <w:t>+</w:t>
            </w:r>
          </w:p>
        </w:tc>
        <w:tc>
          <w:tcPr>
            <w:tcW w:w="356" w:type="dxa"/>
            <w:vAlign w:val="bottom"/>
          </w:tcPr>
          <w:p w:rsidR="00F931EF" w:rsidRPr="00F931EF" w:rsidRDefault="00F931EF" w:rsidP="00F931EF">
            <w:pPr>
              <w:ind w:right="66"/>
              <w:jc w:val="right"/>
              <w:rPr>
                <w:sz w:val="20"/>
                <w:szCs w:val="20"/>
              </w:rPr>
            </w:pPr>
            <w:r w:rsidRPr="00F931EF">
              <w:rPr>
                <w:rFonts w:eastAsia="Times New Roman"/>
                <w:sz w:val="16"/>
                <w:szCs w:val="16"/>
              </w:rPr>
              <w:t>+</w:t>
            </w: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202"/>
        </w:trPr>
        <w:tc>
          <w:tcPr>
            <w:tcW w:w="3969" w:type="dxa"/>
            <w:vAlign w:val="bottom"/>
          </w:tcPr>
          <w:p w:rsidR="00F931EF" w:rsidRPr="00F931EF" w:rsidRDefault="00F931EF" w:rsidP="00F931EF">
            <w:pPr>
              <w:ind w:left="60"/>
              <w:rPr>
                <w:sz w:val="20"/>
                <w:szCs w:val="20"/>
              </w:rPr>
            </w:pP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Коефіцієнт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спі</w:t>
            </w:r>
            <w:proofErr w:type="gramStart"/>
            <w:r w:rsidRPr="00F931EF">
              <w:rPr>
                <w:rFonts w:eastAsia="Times New Roman"/>
                <w:sz w:val="16"/>
                <w:szCs w:val="16"/>
              </w:rPr>
              <w:t>вв</w:t>
            </w:r>
            <w:proofErr w:type="gramEnd"/>
            <w:r w:rsidRPr="00F931EF">
              <w:rPr>
                <w:rFonts w:eastAsia="Times New Roman"/>
                <w:sz w:val="16"/>
                <w:szCs w:val="16"/>
              </w:rPr>
              <w:t>ідношення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кредитів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і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зобов’язань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>, %</w:t>
            </w:r>
          </w:p>
        </w:tc>
        <w:tc>
          <w:tcPr>
            <w:tcW w:w="411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F931EF" w:rsidRPr="00F931EF" w:rsidRDefault="00F931EF" w:rsidP="00F931EF">
            <w:pPr>
              <w:jc w:val="center"/>
              <w:rPr>
                <w:sz w:val="20"/>
                <w:szCs w:val="20"/>
              </w:rPr>
            </w:pPr>
            <w:r w:rsidRPr="00F931EF">
              <w:rPr>
                <w:rFonts w:eastAsia="Times New Roman"/>
                <w:w w:val="88"/>
                <w:sz w:val="16"/>
                <w:szCs w:val="16"/>
              </w:rPr>
              <w:t>+</w:t>
            </w:r>
          </w:p>
        </w:tc>
        <w:tc>
          <w:tcPr>
            <w:tcW w:w="42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724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56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202"/>
        </w:trPr>
        <w:tc>
          <w:tcPr>
            <w:tcW w:w="3969" w:type="dxa"/>
            <w:vAlign w:val="bottom"/>
          </w:tcPr>
          <w:p w:rsidR="00F931EF" w:rsidRPr="00F931EF" w:rsidRDefault="00F931EF" w:rsidP="00F931EF">
            <w:pPr>
              <w:ind w:left="60"/>
              <w:rPr>
                <w:sz w:val="20"/>
                <w:szCs w:val="20"/>
              </w:rPr>
            </w:pP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Коефіцієнт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достатності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капіталу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>, %</w:t>
            </w:r>
          </w:p>
        </w:tc>
        <w:tc>
          <w:tcPr>
            <w:tcW w:w="411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F931EF" w:rsidRPr="00F931EF" w:rsidRDefault="00F931EF" w:rsidP="00F931EF">
            <w:pPr>
              <w:jc w:val="center"/>
              <w:rPr>
                <w:sz w:val="20"/>
                <w:szCs w:val="20"/>
              </w:rPr>
            </w:pPr>
            <w:r w:rsidRPr="00F931EF">
              <w:rPr>
                <w:rFonts w:eastAsia="Times New Roman"/>
                <w:w w:val="88"/>
                <w:sz w:val="16"/>
                <w:szCs w:val="16"/>
              </w:rPr>
              <w:t>+</w:t>
            </w:r>
          </w:p>
        </w:tc>
        <w:tc>
          <w:tcPr>
            <w:tcW w:w="42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F931EF" w:rsidRPr="00F931EF" w:rsidRDefault="00F931EF" w:rsidP="00F931EF">
            <w:pPr>
              <w:jc w:val="center"/>
              <w:rPr>
                <w:sz w:val="20"/>
                <w:szCs w:val="20"/>
              </w:rPr>
            </w:pPr>
            <w:r w:rsidRPr="00F931EF">
              <w:rPr>
                <w:rFonts w:eastAsia="Times New Roman"/>
                <w:w w:val="88"/>
                <w:sz w:val="16"/>
                <w:szCs w:val="16"/>
              </w:rPr>
              <w:t>+</w:t>
            </w:r>
          </w:p>
        </w:tc>
        <w:tc>
          <w:tcPr>
            <w:tcW w:w="30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724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56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192"/>
        </w:trPr>
        <w:tc>
          <w:tcPr>
            <w:tcW w:w="3969" w:type="dxa"/>
            <w:vAlign w:val="bottom"/>
          </w:tcPr>
          <w:p w:rsidR="00F931EF" w:rsidRPr="00F931EF" w:rsidRDefault="00F931EF" w:rsidP="00F931EF">
            <w:pPr>
              <w:ind w:left="60"/>
              <w:rPr>
                <w:sz w:val="20"/>
                <w:szCs w:val="20"/>
              </w:rPr>
            </w:pP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Спі</w:t>
            </w:r>
            <w:proofErr w:type="gramStart"/>
            <w:r w:rsidRPr="00F931EF">
              <w:rPr>
                <w:rFonts w:eastAsia="Times New Roman"/>
                <w:sz w:val="16"/>
                <w:szCs w:val="16"/>
              </w:rPr>
              <w:t>вв</w:t>
            </w:r>
            <w:proofErr w:type="gramEnd"/>
            <w:r w:rsidRPr="00F931EF">
              <w:rPr>
                <w:rFonts w:eastAsia="Times New Roman"/>
                <w:sz w:val="16"/>
                <w:szCs w:val="16"/>
              </w:rPr>
              <w:t>ідношення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отриманих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і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виданих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міжбанківських</w:t>
            </w:r>
            <w:proofErr w:type="spellEnd"/>
          </w:p>
        </w:tc>
        <w:tc>
          <w:tcPr>
            <w:tcW w:w="411" w:type="dxa"/>
            <w:vAlign w:val="bottom"/>
          </w:tcPr>
          <w:p w:rsidR="00F931EF" w:rsidRPr="00F931EF" w:rsidRDefault="00F931EF" w:rsidP="00F931EF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F931EF" w:rsidRPr="00F931EF" w:rsidRDefault="00F931EF" w:rsidP="00F931EF">
            <w:pPr>
              <w:jc w:val="center"/>
              <w:rPr>
                <w:sz w:val="20"/>
                <w:szCs w:val="20"/>
              </w:rPr>
            </w:pPr>
            <w:r w:rsidRPr="00F931EF">
              <w:rPr>
                <w:rFonts w:eastAsia="Times New Roman"/>
                <w:w w:val="88"/>
                <w:sz w:val="16"/>
                <w:szCs w:val="16"/>
              </w:rPr>
              <w:t>+</w:t>
            </w:r>
          </w:p>
        </w:tc>
        <w:tc>
          <w:tcPr>
            <w:tcW w:w="420" w:type="dxa"/>
            <w:vAlign w:val="bottom"/>
          </w:tcPr>
          <w:p w:rsidR="00F931EF" w:rsidRPr="00F931EF" w:rsidRDefault="00F931EF" w:rsidP="00F931EF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F931EF" w:rsidRPr="00F931EF" w:rsidRDefault="00F931EF" w:rsidP="00F931EF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931EF" w:rsidRPr="00F931EF" w:rsidRDefault="00F931EF" w:rsidP="00F931EF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931EF" w:rsidRPr="00F931EF" w:rsidRDefault="00F931EF" w:rsidP="00F931EF">
            <w:pPr>
              <w:rPr>
                <w:sz w:val="16"/>
                <w:szCs w:val="16"/>
              </w:rPr>
            </w:pPr>
          </w:p>
        </w:tc>
        <w:tc>
          <w:tcPr>
            <w:tcW w:w="724" w:type="dxa"/>
            <w:vAlign w:val="bottom"/>
          </w:tcPr>
          <w:p w:rsidR="00F931EF" w:rsidRPr="00F931EF" w:rsidRDefault="00F931EF" w:rsidP="00F931EF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bottom"/>
          </w:tcPr>
          <w:p w:rsidR="00F931EF" w:rsidRPr="00F931EF" w:rsidRDefault="00F931EF" w:rsidP="00F931EF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114"/>
        </w:trPr>
        <w:tc>
          <w:tcPr>
            <w:tcW w:w="3969" w:type="dxa"/>
            <w:vMerge w:val="restart"/>
            <w:vAlign w:val="bottom"/>
          </w:tcPr>
          <w:p w:rsidR="00F931EF" w:rsidRPr="00F931EF" w:rsidRDefault="00F931EF" w:rsidP="00F931EF">
            <w:pPr>
              <w:ind w:left="60"/>
              <w:rPr>
                <w:sz w:val="20"/>
                <w:szCs w:val="20"/>
              </w:rPr>
            </w:pP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кредиті</w:t>
            </w:r>
            <w:proofErr w:type="gramStart"/>
            <w:r w:rsidRPr="00F931EF">
              <w:rPr>
                <w:rFonts w:eastAsia="Times New Roman"/>
                <w:sz w:val="16"/>
                <w:szCs w:val="16"/>
              </w:rPr>
              <w:t>в</w:t>
            </w:r>
            <w:proofErr w:type="spellEnd"/>
            <w:proofErr w:type="gramEnd"/>
            <w:r w:rsidRPr="00F931EF">
              <w:rPr>
                <w:rFonts w:eastAsia="Times New Roman"/>
                <w:sz w:val="16"/>
                <w:szCs w:val="16"/>
              </w:rPr>
              <w:t>*</w:t>
            </w:r>
          </w:p>
        </w:tc>
        <w:tc>
          <w:tcPr>
            <w:tcW w:w="411" w:type="dxa"/>
            <w:vAlign w:val="bottom"/>
          </w:tcPr>
          <w:p w:rsidR="00F931EF" w:rsidRPr="00F931EF" w:rsidRDefault="00F931EF" w:rsidP="00F931EF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/>
            <w:vAlign w:val="bottom"/>
          </w:tcPr>
          <w:p w:rsidR="00F931EF" w:rsidRPr="00F931EF" w:rsidRDefault="00F931EF" w:rsidP="00F931EF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F931EF" w:rsidRPr="00F931EF" w:rsidRDefault="00F931EF" w:rsidP="00F931EF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F931EF" w:rsidRPr="00F931EF" w:rsidRDefault="00F931EF" w:rsidP="00F931EF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F931EF" w:rsidRPr="00F931EF" w:rsidRDefault="00F931EF" w:rsidP="00F931EF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F931EF" w:rsidRPr="00F931EF" w:rsidRDefault="00F931EF" w:rsidP="00F931EF">
            <w:pPr>
              <w:rPr>
                <w:sz w:val="9"/>
                <w:szCs w:val="9"/>
              </w:rPr>
            </w:pPr>
          </w:p>
        </w:tc>
        <w:tc>
          <w:tcPr>
            <w:tcW w:w="724" w:type="dxa"/>
            <w:vAlign w:val="bottom"/>
          </w:tcPr>
          <w:p w:rsidR="00F931EF" w:rsidRPr="00F931EF" w:rsidRDefault="00F931EF" w:rsidP="00F931EF">
            <w:pPr>
              <w:rPr>
                <w:sz w:val="9"/>
                <w:szCs w:val="9"/>
              </w:rPr>
            </w:pPr>
          </w:p>
        </w:tc>
        <w:tc>
          <w:tcPr>
            <w:tcW w:w="356" w:type="dxa"/>
            <w:vAlign w:val="bottom"/>
          </w:tcPr>
          <w:p w:rsidR="00F931EF" w:rsidRPr="00F931EF" w:rsidRDefault="00F931EF" w:rsidP="00F931EF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88"/>
        </w:trPr>
        <w:tc>
          <w:tcPr>
            <w:tcW w:w="3969" w:type="dxa"/>
            <w:vMerge/>
            <w:vAlign w:val="bottom"/>
          </w:tcPr>
          <w:p w:rsidR="00F931EF" w:rsidRPr="00F931EF" w:rsidRDefault="00F931EF" w:rsidP="00F931EF">
            <w:pPr>
              <w:rPr>
                <w:sz w:val="7"/>
                <w:szCs w:val="7"/>
              </w:rPr>
            </w:pPr>
          </w:p>
        </w:tc>
        <w:tc>
          <w:tcPr>
            <w:tcW w:w="411" w:type="dxa"/>
            <w:vAlign w:val="bottom"/>
          </w:tcPr>
          <w:p w:rsidR="00F931EF" w:rsidRPr="00F931EF" w:rsidRDefault="00F931EF" w:rsidP="00F931EF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:rsidR="00F931EF" w:rsidRPr="00F931EF" w:rsidRDefault="00F931EF" w:rsidP="00F931EF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F931EF" w:rsidRPr="00F931EF" w:rsidRDefault="00F931EF" w:rsidP="00F931EF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F931EF" w:rsidRPr="00F931EF" w:rsidRDefault="00F931EF" w:rsidP="00F931EF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F931EF" w:rsidRPr="00F931EF" w:rsidRDefault="00F931EF" w:rsidP="00F931EF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F931EF" w:rsidRPr="00F931EF" w:rsidRDefault="00F931EF" w:rsidP="00F931EF">
            <w:pPr>
              <w:rPr>
                <w:sz w:val="7"/>
                <w:szCs w:val="7"/>
              </w:rPr>
            </w:pPr>
          </w:p>
        </w:tc>
        <w:tc>
          <w:tcPr>
            <w:tcW w:w="724" w:type="dxa"/>
            <w:vAlign w:val="bottom"/>
          </w:tcPr>
          <w:p w:rsidR="00F931EF" w:rsidRPr="00F931EF" w:rsidRDefault="00F931EF" w:rsidP="00F931EF">
            <w:pPr>
              <w:rPr>
                <w:sz w:val="7"/>
                <w:szCs w:val="7"/>
              </w:rPr>
            </w:pPr>
          </w:p>
        </w:tc>
        <w:tc>
          <w:tcPr>
            <w:tcW w:w="356" w:type="dxa"/>
            <w:vAlign w:val="bottom"/>
          </w:tcPr>
          <w:p w:rsidR="00F931EF" w:rsidRPr="00F931EF" w:rsidRDefault="00F931EF" w:rsidP="00F931EF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202"/>
        </w:trPr>
        <w:tc>
          <w:tcPr>
            <w:tcW w:w="3969" w:type="dxa"/>
            <w:vAlign w:val="bottom"/>
          </w:tcPr>
          <w:p w:rsidR="00F931EF" w:rsidRPr="00F931EF" w:rsidRDefault="00F931EF" w:rsidP="00F931EF">
            <w:pPr>
              <w:ind w:left="60"/>
              <w:rPr>
                <w:sz w:val="20"/>
                <w:szCs w:val="20"/>
              </w:rPr>
            </w:pP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Загальна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валютна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позиція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>*/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Валютний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ризик</w:t>
            </w:r>
            <w:proofErr w:type="spellEnd"/>
          </w:p>
        </w:tc>
        <w:tc>
          <w:tcPr>
            <w:tcW w:w="411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F931EF" w:rsidRPr="00F931EF" w:rsidRDefault="00F931EF" w:rsidP="00F931EF">
            <w:pPr>
              <w:jc w:val="center"/>
              <w:rPr>
                <w:sz w:val="20"/>
                <w:szCs w:val="20"/>
              </w:rPr>
            </w:pPr>
            <w:r w:rsidRPr="00F931EF">
              <w:rPr>
                <w:rFonts w:eastAsia="Times New Roman"/>
                <w:w w:val="88"/>
                <w:sz w:val="16"/>
                <w:szCs w:val="16"/>
              </w:rPr>
              <w:t>+</w:t>
            </w:r>
          </w:p>
        </w:tc>
        <w:tc>
          <w:tcPr>
            <w:tcW w:w="42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F931EF" w:rsidRPr="00F931EF" w:rsidRDefault="00F931EF" w:rsidP="00F931EF">
            <w:pPr>
              <w:jc w:val="center"/>
              <w:rPr>
                <w:sz w:val="20"/>
                <w:szCs w:val="20"/>
              </w:rPr>
            </w:pPr>
            <w:r w:rsidRPr="00F931EF">
              <w:rPr>
                <w:rFonts w:eastAsia="Times New Roman"/>
                <w:sz w:val="16"/>
                <w:szCs w:val="16"/>
              </w:rPr>
              <w:t>+</w:t>
            </w:r>
          </w:p>
        </w:tc>
        <w:tc>
          <w:tcPr>
            <w:tcW w:w="280" w:type="dxa"/>
            <w:vAlign w:val="bottom"/>
          </w:tcPr>
          <w:p w:rsidR="00F931EF" w:rsidRPr="00F931EF" w:rsidRDefault="00F931EF" w:rsidP="00F931EF">
            <w:pPr>
              <w:jc w:val="center"/>
              <w:rPr>
                <w:sz w:val="20"/>
                <w:szCs w:val="20"/>
              </w:rPr>
            </w:pPr>
            <w:r w:rsidRPr="00F931EF">
              <w:rPr>
                <w:rFonts w:eastAsia="Times New Roman"/>
                <w:w w:val="88"/>
                <w:sz w:val="16"/>
                <w:szCs w:val="16"/>
              </w:rPr>
              <w:t>+</w:t>
            </w:r>
          </w:p>
        </w:tc>
        <w:tc>
          <w:tcPr>
            <w:tcW w:w="30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724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56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202"/>
        </w:trPr>
        <w:tc>
          <w:tcPr>
            <w:tcW w:w="3969" w:type="dxa"/>
            <w:vAlign w:val="bottom"/>
          </w:tcPr>
          <w:p w:rsidR="00F931EF" w:rsidRPr="00F931EF" w:rsidRDefault="00F931EF" w:rsidP="00F931EF">
            <w:pPr>
              <w:ind w:left="60"/>
              <w:rPr>
                <w:sz w:val="20"/>
                <w:szCs w:val="20"/>
              </w:rPr>
            </w:pP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Таксономічний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показник</w:t>
            </w:r>
            <w:proofErr w:type="spellEnd"/>
          </w:p>
        </w:tc>
        <w:tc>
          <w:tcPr>
            <w:tcW w:w="411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F931EF" w:rsidRPr="00F931EF" w:rsidRDefault="00F931EF" w:rsidP="00F931EF">
            <w:pPr>
              <w:ind w:right="110"/>
              <w:jc w:val="right"/>
              <w:rPr>
                <w:sz w:val="20"/>
                <w:szCs w:val="20"/>
              </w:rPr>
            </w:pPr>
            <w:r w:rsidRPr="00F931EF">
              <w:rPr>
                <w:rFonts w:eastAsia="Times New Roman"/>
                <w:sz w:val="16"/>
                <w:szCs w:val="16"/>
              </w:rPr>
              <w:t>+</w:t>
            </w:r>
          </w:p>
        </w:tc>
        <w:tc>
          <w:tcPr>
            <w:tcW w:w="26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724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56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202"/>
        </w:trPr>
        <w:tc>
          <w:tcPr>
            <w:tcW w:w="3969" w:type="dxa"/>
            <w:vAlign w:val="bottom"/>
          </w:tcPr>
          <w:p w:rsidR="00F931EF" w:rsidRPr="00F931EF" w:rsidRDefault="00F931EF" w:rsidP="00F931EF">
            <w:pPr>
              <w:ind w:left="60"/>
              <w:rPr>
                <w:sz w:val="20"/>
                <w:szCs w:val="20"/>
              </w:rPr>
            </w:pP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Стабільність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ресурсної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бази</w:t>
            </w:r>
            <w:proofErr w:type="spellEnd"/>
          </w:p>
        </w:tc>
        <w:tc>
          <w:tcPr>
            <w:tcW w:w="411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F931EF" w:rsidRPr="00F931EF" w:rsidRDefault="00F931EF" w:rsidP="00F931EF">
            <w:pPr>
              <w:jc w:val="center"/>
              <w:rPr>
                <w:sz w:val="20"/>
                <w:szCs w:val="20"/>
              </w:rPr>
            </w:pPr>
            <w:r w:rsidRPr="00F931EF">
              <w:rPr>
                <w:rFonts w:eastAsia="Times New Roman"/>
                <w:sz w:val="16"/>
                <w:szCs w:val="16"/>
              </w:rPr>
              <w:t>+</w:t>
            </w:r>
          </w:p>
        </w:tc>
        <w:tc>
          <w:tcPr>
            <w:tcW w:w="28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724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56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202"/>
        </w:trPr>
        <w:tc>
          <w:tcPr>
            <w:tcW w:w="3969" w:type="dxa"/>
            <w:vAlign w:val="bottom"/>
          </w:tcPr>
          <w:p w:rsidR="00F931EF" w:rsidRPr="00F931EF" w:rsidRDefault="00F931EF" w:rsidP="00F931EF">
            <w:pPr>
              <w:ind w:left="60"/>
              <w:rPr>
                <w:sz w:val="20"/>
                <w:szCs w:val="20"/>
              </w:rPr>
            </w:pP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Фондовий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ризик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національного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та </w:t>
            </w:r>
            <w:proofErr w:type="spellStart"/>
            <w:proofErr w:type="gramStart"/>
            <w:r w:rsidRPr="00F931EF">
              <w:rPr>
                <w:rFonts w:eastAsia="Times New Roman"/>
                <w:sz w:val="16"/>
                <w:szCs w:val="16"/>
              </w:rPr>
              <w:t>м</w:t>
            </w:r>
            <w:proofErr w:type="gramEnd"/>
            <w:r w:rsidRPr="00F931EF">
              <w:rPr>
                <w:rFonts w:eastAsia="Times New Roman"/>
                <w:sz w:val="16"/>
                <w:szCs w:val="16"/>
              </w:rPr>
              <w:t>іжнародного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ринку</w:t>
            </w:r>
          </w:p>
        </w:tc>
        <w:tc>
          <w:tcPr>
            <w:tcW w:w="411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F931EF" w:rsidRPr="00F931EF" w:rsidRDefault="00F931EF" w:rsidP="00F931EF">
            <w:pPr>
              <w:jc w:val="center"/>
              <w:rPr>
                <w:sz w:val="20"/>
                <w:szCs w:val="20"/>
              </w:rPr>
            </w:pPr>
            <w:r w:rsidRPr="00F931EF">
              <w:rPr>
                <w:rFonts w:eastAsia="Times New Roman"/>
                <w:sz w:val="16"/>
                <w:szCs w:val="16"/>
              </w:rPr>
              <w:t>+</w:t>
            </w:r>
          </w:p>
        </w:tc>
        <w:tc>
          <w:tcPr>
            <w:tcW w:w="28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724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56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202"/>
        </w:trPr>
        <w:tc>
          <w:tcPr>
            <w:tcW w:w="3969" w:type="dxa"/>
            <w:vAlign w:val="bottom"/>
          </w:tcPr>
          <w:p w:rsidR="00F931EF" w:rsidRPr="00F931EF" w:rsidRDefault="00F931EF" w:rsidP="00F931EF">
            <w:pPr>
              <w:ind w:left="60"/>
              <w:rPr>
                <w:sz w:val="20"/>
                <w:szCs w:val="20"/>
              </w:rPr>
            </w:pP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Платіжна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позиція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банку*</w:t>
            </w:r>
          </w:p>
        </w:tc>
        <w:tc>
          <w:tcPr>
            <w:tcW w:w="411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F931EF" w:rsidRPr="00F931EF" w:rsidRDefault="00F931EF" w:rsidP="00F931EF">
            <w:pPr>
              <w:jc w:val="center"/>
              <w:rPr>
                <w:sz w:val="20"/>
                <w:szCs w:val="20"/>
              </w:rPr>
            </w:pPr>
            <w:r w:rsidRPr="00F931EF">
              <w:rPr>
                <w:rFonts w:eastAsia="Times New Roman"/>
                <w:sz w:val="16"/>
                <w:szCs w:val="16"/>
              </w:rPr>
              <w:t>+</w:t>
            </w:r>
          </w:p>
        </w:tc>
        <w:tc>
          <w:tcPr>
            <w:tcW w:w="28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724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56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202"/>
        </w:trPr>
        <w:tc>
          <w:tcPr>
            <w:tcW w:w="3969" w:type="dxa"/>
            <w:vAlign w:val="bottom"/>
          </w:tcPr>
          <w:p w:rsidR="00F931EF" w:rsidRPr="00F931EF" w:rsidRDefault="00F931EF" w:rsidP="00F931EF">
            <w:pPr>
              <w:ind w:left="60"/>
              <w:rPr>
                <w:sz w:val="20"/>
                <w:szCs w:val="20"/>
              </w:rPr>
            </w:pP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Фінансова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931EF">
              <w:rPr>
                <w:rFonts w:eastAsia="Times New Roman"/>
                <w:sz w:val="16"/>
                <w:szCs w:val="16"/>
              </w:rPr>
              <w:t>ст</w:t>
            </w:r>
            <w:proofErr w:type="gramEnd"/>
            <w:r w:rsidRPr="00F931EF">
              <w:rPr>
                <w:rFonts w:eastAsia="Times New Roman"/>
                <w:sz w:val="16"/>
                <w:szCs w:val="16"/>
              </w:rPr>
              <w:t>ійкість</w:t>
            </w:r>
            <w:proofErr w:type="spellEnd"/>
          </w:p>
        </w:tc>
        <w:tc>
          <w:tcPr>
            <w:tcW w:w="411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F931EF" w:rsidRPr="00F931EF" w:rsidRDefault="00F931EF" w:rsidP="00F931EF">
            <w:pPr>
              <w:jc w:val="center"/>
              <w:rPr>
                <w:sz w:val="20"/>
                <w:szCs w:val="20"/>
              </w:rPr>
            </w:pPr>
            <w:r w:rsidRPr="00F931EF">
              <w:rPr>
                <w:rFonts w:eastAsia="Times New Roman"/>
                <w:sz w:val="16"/>
                <w:szCs w:val="16"/>
              </w:rPr>
              <w:t>+</w:t>
            </w:r>
          </w:p>
        </w:tc>
        <w:tc>
          <w:tcPr>
            <w:tcW w:w="28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724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56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202"/>
        </w:trPr>
        <w:tc>
          <w:tcPr>
            <w:tcW w:w="3969" w:type="dxa"/>
            <w:vAlign w:val="bottom"/>
          </w:tcPr>
          <w:p w:rsidR="00F931EF" w:rsidRPr="00F931EF" w:rsidRDefault="00F931EF" w:rsidP="00F931EF">
            <w:pPr>
              <w:ind w:left="60"/>
              <w:rPr>
                <w:sz w:val="20"/>
                <w:szCs w:val="20"/>
              </w:rPr>
            </w:pP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Дефіцит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бюджету</w:t>
            </w:r>
          </w:p>
        </w:tc>
        <w:tc>
          <w:tcPr>
            <w:tcW w:w="411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F931EF" w:rsidRPr="00F931EF" w:rsidRDefault="00F931EF" w:rsidP="00F931EF">
            <w:pPr>
              <w:jc w:val="center"/>
              <w:rPr>
                <w:sz w:val="20"/>
                <w:szCs w:val="20"/>
              </w:rPr>
            </w:pPr>
            <w:r w:rsidRPr="00F931EF">
              <w:rPr>
                <w:rFonts w:eastAsia="Times New Roman"/>
                <w:sz w:val="16"/>
                <w:szCs w:val="16"/>
              </w:rPr>
              <w:t>+</w:t>
            </w:r>
          </w:p>
        </w:tc>
        <w:tc>
          <w:tcPr>
            <w:tcW w:w="28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724" w:type="dxa"/>
            <w:vAlign w:val="bottom"/>
          </w:tcPr>
          <w:p w:rsidR="00F931EF" w:rsidRPr="00F931EF" w:rsidRDefault="00F931EF" w:rsidP="00F931EF">
            <w:pPr>
              <w:ind w:right="325"/>
              <w:jc w:val="right"/>
              <w:rPr>
                <w:sz w:val="20"/>
                <w:szCs w:val="20"/>
              </w:rPr>
            </w:pPr>
            <w:r w:rsidRPr="00F931EF">
              <w:rPr>
                <w:rFonts w:eastAsia="Times New Roman"/>
                <w:sz w:val="16"/>
                <w:szCs w:val="16"/>
              </w:rPr>
              <w:t>+</w:t>
            </w:r>
          </w:p>
        </w:tc>
        <w:tc>
          <w:tcPr>
            <w:tcW w:w="356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202"/>
        </w:trPr>
        <w:tc>
          <w:tcPr>
            <w:tcW w:w="3969" w:type="dxa"/>
            <w:vAlign w:val="bottom"/>
          </w:tcPr>
          <w:p w:rsidR="00F931EF" w:rsidRPr="00F931EF" w:rsidRDefault="00F931EF" w:rsidP="00F931EF">
            <w:pPr>
              <w:ind w:left="60"/>
              <w:rPr>
                <w:sz w:val="20"/>
                <w:szCs w:val="20"/>
              </w:rPr>
            </w:pP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Грошова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маса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М</w:t>
            </w:r>
            <w:proofErr w:type="gramStart"/>
            <w:r w:rsidRPr="00F931EF">
              <w:rPr>
                <w:rFonts w:eastAsia="Times New Roman"/>
                <w:sz w:val="16"/>
                <w:szCs w:val="16"/>
              </w:rPr>
              <w:t>2</w:t>
            </w:r>
            <w:proofErr w:type="gramEnd"/>
            <w:r w:rsidRPr="00F931EF">
              <w:rPr>
                <w:rFonts w:eastAsia="Times New Roman"/>
                <w:sz w:val="16"/>
                <w:szCs w:val="16"/>
              </w:rPr>
              <w:t>/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грошова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маса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в % до ВВП</w:t>
            </w:r>
          </w:p>
        </w:tc>
        <w:tc>
          <w:tcPr>
            <w:tcW w:w="411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F931EF" w:rsidRPr="00F931EF" w:rsidRDefault="00F931EF" w:rsidP="00F931EF">
            <w:pPr>
              <w:jc w:val="center"/>
              <w:rPr>
                <w:sz w:val="20"/>
                <w:szCs w:val="20"/>
              </w:rPr>
            </w:pPr>
            <w:r w:rsidRPr="00F931EF">
              <w:rPr>
                <w:rFonts w:eastAsia="Times New Roman"/>
                <w:sz w:val="16"/>
                <w:szCs w:val="16"/>
              </w:rPr>
              <w:t>+</w:t>
            </w:r>
          </w:p>
        </w:tc>
        <w:tc>
          <w:tcPr>
            <w:tcW w:w="28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724" w:type="dxa"/>
            <w:vAlign w:val="bottom"/>
          </w:tcPr>
          <w:p w:rsidR="00F931EF" w:rsidRPr="00F931EF" w:rsidRDefault="00F931EF" w:rsidP="00F931EF">
            <w:pPr>
              <w:ind w:right="325"/>
              <w:jc w:val="right"/>
              <w:rPr>
                <w:sz w:val="20"/>
                <w:szCs w:val="20"/>
              </w:rPr>
            </w:pPr>
            <w:r w:rsidRPr="00F931EF">
              <w:rPr>
                <w:rFonts w:eastAsia="Times New Roman"/>
                <w:sz w:val="16"/>
                <w:szCs w:val="16"/>
              </w:rPr>
              <w:t>+</w:t>
            </w:r>
          </w:p>
        </w:tc>
        <w:tc>
          <w:tcPr>
            <w:tcW w:w="356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202"/>
        </w:trPr>
        <w:tc>
          <w:tcPr>
            <w:tcW w:w="3969" w:type="dxa"/>
            <w:vAlign w:val="bottom"/>
          </w:tcPr>
          <w:p w:rsidR="00F931EF" w:rsidRPr="00F931EF" w:rsidRDefault="00F931EF" w:rsidP="00F931EF">
            <w:pPr>
              <w:ind w:left="60"/>
              <w:rPr>
                <w:sz w:val="20"/>
                <w:szCs w:val="20"/>
              </w:rPr>
            </w:pP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Зміна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ставок на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національному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та </w:t>
            </w:r>
            <w:proofErr w:type="spellStart"/>
            <w:proofErr w:type="gramStart"/>
            <w:r w:rsidRPr="00F931EF">
              <w:rPr>
                <w:rFonts w:eastAsia="Times New Roman"/>
                <w:sz w:val="16"/>
                <w:szCs w:val="16"/>
              </w:rPr>
              <w:t>м</w:t>
            </w:r>
            <w:proofErr w:type="gramEnd"/>
            <w:r w:rsidRPr="00F931EF">
              <w:rPr>
                <w:rFonts w:eastAsia="Times New Roman"/>
                <w:sz w:val="16"/>
                <w:szCs w:val="16"/>
              </w:rPr>
              <w:t>іжнародному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МБК</w:t>
            </w:r>
          </w:p>
        </w:tc>
        <w:tc>
          <w:tcPr>
            <w:tcW w:w="411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F931EF" w:rsidRPr="00F931EF" w:rsidRDefault="00F931EF" w:rsidP="00F931EF">
            <w:pPr>
              <w:jc w:val="center"/>
              <w:rPr>
                <w:sz w:val="20"/>
                <w:szCs w:val="20"/>
              </w:rPr>
            </w:pPr>
            <w:r w:rsidRPr="00F931EF">
              <w:rPr>
                <w:rFonts w:eastAsia="Times New Roman"/>
                <w:sz w:val="16"/>
                <w:szCs w:val="16"/>
              </w:rPr>
              <w:t>+</w:t>
            </w:r>
          </w:p>
        </w:tc>
        <w:tc>
          <w:tcPr>
            <w:tcW w:w="28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724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56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202"/>
        </w:trPr>
        <w:tc>
          <w:tcPr>
            <w:tcW w:w="3969" w:type="dxa"/>
            <w:vAlign w:val="bottom"/>
          </w:tcPr>
          <w:p w:rsidR="00F931EF" w:rsidRPr="00F931EF" w:rsidRDefault="00F931EF" w:rsidP="00F931EF">
            <w:pPr>
              <w:ind w:left="60"/>
              <w:rPr>
                <w:sz w:val="20"/>
                <w:szCs w:val="20"/>
              </w:rPr>
            </w:pP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Розподіл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кредиті</w:t>
            </w:r>
            <w:proofErr w:type="gramStart"/>
            <w:r w:rsidRPr="00F931EF">
              <w:rPr>
                <w:rFonts w:eastAsia="Times New Roman"/>
                <w:sz w:val="16"/>
                <w:szCs w:val="16"/>
              </w:rPr>
              <w:t>в</w:t>
            </w:r>
            <w:proofErr w:type="spellEnd"/>
            <w:proofErr w:type="gramEnd"/>
            <w:r w:rsidRPr="00F931EF">
              <w:rPr>
                <w:rFonts w:eastAsia="Times New Roman"/>
                <w:sz w:val="16"/>
                <w:szCs w:val="16"/>
              </w:rPr>
              <w:t xml:space="preserve"> за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галузями</w:t>
            </w:r>
            <w:proofErr w:type="spellEnd"/>
          </w:p>
        </w:tc>
        <w:tc>
          <w:tcPr>
            <w:tcW w:w="411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F931EF" w:rsidRPr="00F931EF" w:rsidRDefault="00F931EF" w:rsidP="00F931EF">
            <w:pPr>
              <w:jc w:val="center"/>
              <w:rPr>
                <w:sz w:val="20"/>
                <w:szCs w:val="20"/>
              </w:rPr>
            </w:pPr>
            <w:r w:rsidRPr="00F931EF">
              <w:rPr>
                <w:rFonts w:eastAsia="Times New Roman"/>
                <w:w w:val="88"/>
                <w:sz w:val="16"/>
                <w:szCs w:val="16"/>
              </w:rPr>
              <w:t>+</w:t>
            </w:r>
          </w:p>
        </w:tc>
        <w:tc>
          <w:tcPr>
            <w:tcW w:w="30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724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56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192"/>
        </w:trPr>
        <w:tc>
          <w:tcPr>
            <w:tcW w:w="3969" w:type="dxa"/>
            <w:vAlign w:val="bottom"/>
          </w:tcPr>
          <w:p w:rsidR="00F931EF" w:rsidRPr="00F931EF" w:rsidRDefault="00F931EF" w:rsidP="00F931EF">
            <w:pPr>
              <w:ind w:left="60"/>
              <w:rPr>
                <w:sz w:val="20"/>
                <w:szCs w:val="20"/>
              </w:rPr>
            </w:pPr>
            <w:proofErr w:type="spellStart"/>
            <w:r w:rsidRPr="00F931EF">
              <w:rPr>
                <w:rFonts w:eastAsia="Times New Roman"/>
                <w:w w:val="99"/>
                <w:sz w:val="16"/>
                <w:szCs w:val="16"/>
              </w:rPr>
              <w:t>Частка</w:t>
            </w:r>
            <w:proofErr w:type="spellEnd"/>
            <w:r w:rsidRPr="00F931EF">
              <w:rPr>
                <w:rFonts w:eastAsia="Times New Roman"/>
                <w:w w:val="99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w w:val="99"/>
                <w:sz w:val="16"/>
                <w:szCs w:val="16"/>
              </w:rPr>
              <w:t>коштів</w:t>
            </w:r>
            <w:proofErr w:type="spellEnd"/>
            <w:r w:rsidRPr="00F931EF">
              <w:rPr>
                <w:rFonts w:eastAsia="Times New Roman"/>
                <w:w w:val="99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w w:val="99"/>
                <w:sz w:val="16"/>
                <w:szCs w:val="16"/>
              </w:rPr>
              <w:t>клієнтів</w:t>
            </w:r>
            <w:proofErr w:type="spellEnd"/>
            <w:r w:rsidRPr="00F931EF">
              <w:rPr>
                <w:rFonts w:eastAsia="Times New Roman"/>
                <w:w w:val="99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w w:val="99"/>
                <w:sz w:val="16"/>
                <w:szCs w:val="16"/>
              </w:rPr>
              <w:t>виражених</w:t>
            </w:r>
            <w:proofErr w:type="spellEnd"/>
            <w:r w:rsidRPr="00F931EF">
              <w:rPr>
                <w:rFonts w:eastAsia="Times New Roman"/>
                <w:w w:val="99"/>
                <w:sz w:val="16"/>
                <w:szCs w:val="16"/>
              </w:rPr>
              <w:t xml:space="preserve"> в </w:t>
            </w:r>
            <w:proofErr w:type="spellStart"/>
            <w:r w:rsidRPr="00F931EF">
              <w:rPr>
                <w:rFonts w:eastAsia="Times New Roman"/>
                <w:w w:val="99"/>
                <w:sz w:val="16"/>
                <w:szCs w:val="16"/>
              </w:rPr>
              <w:t>іноземній</w:t>
            </w:r>
            <w:proofErr w:type="spellEnd"/>
            <w:r w:rsidRPr="00F931EF">
              <w:rPr>
                <w:rFonts w:eastAsia="Times New Roman"/>
                <w:w w:val="99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w w:val="99"/>
                <w:sz w:val="16"/>
                <w:szCs w:val="16"/>
              </w:rPr>
              <w:t>валюті</w:t>
            </w:r>
            <w:proofErr w:type="spellEnd"/>
            <w:r w:rsidRPr="00F931EF">
              <w:rPr>
                <w:rFonts w:eastAsia="Times New Roman"/>
                <w:w w:val="99"/>
                <w:sz w:val="16"/>
                <w:szCs w:val="16"/>
              </w:rPr>
              <w:t xml:space="preserve"> у </w:t>
            </w:r>
            <w:proofErr w:type="spellStart"/>
            <w:r w:rsidRPr="00F931EF">
              <w:rPr>
                <w:rFonts w:eastAsia="Times New Roman"/>
                <w:w w:val="99"/>
                <w:sz w:val="16"/>
                <w:szCs w:val="16"/>
              </w:rPr>
              <w:t>всіх</w:t>
            </w:r>
            <w:proofErr w:type="spellEnd"/>
          </w:p>
        </w:tc>
        <w:tc>
          <w:tcPr>
            <w:tcW w:w="411" w:type="dxa"/>
            <w:vAlign w:val="bottom"/>
          </w:tcPr>
          <w:p w:rsidR="00F931EF" w:rsidRPr="00F931EF" w:rsidRDefault="00F931EF" w:rsidP="00F931EF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F931EF" w:rsidRPr="00F931EF" w:rsidRDefault="00F931EF" w:rsidP="00F931EF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F931EF" w:rsidRPr="00F931EF" w:rsidRDefault="00F931EF" w:rsidP="00F931EF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F931EF" w:rsidRPr="00F931EF" w:rsidRDefault="00F931EF" w:rsidP="00F931EF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F931EF" w:rsidRPr="00F931EF" w:rsidRDefault="00F931EF" w:rsidP="00F931EF">
            <w:pPr>
              <w:jc w:val="center"/>
              <w:rPr>
                <w:sz w:val="20"/>
                <w:szCs w:val="20"/>
              </w:rPr>
            </w:pPr>
            <w:r w:rsidRPr="00F931EF">
              <w:rPr>
                <w:rFonts w:eastAsia="Times New Roman"/>
                <w:w w:val="88"/>
                <w:sz w:val="16"/>
                <w:szCs w:val="16"/>
              </w:rPr>
              <w:t>+</w:t>
            </w:r>
          </w:p>
        </w:tc>
        <w:tc>
          <w:tcPr>
            <w:tcW w:w="300" w:type="dxa"/>
            <w:vAlign w:val="bottom"/>
          </w:tcPr>
          <w:p w:rsidR="00F931EF" w:rsidRPr="00F931EF" w:rsidRDefault="00F931EF" w:rsidP="00F931EF">
            <w:pPr>
              <w:rPr>
                <w:sz w:val="16"/>
                <w:szCs w:val="16"/>
              </w:rPr>
            </w:pPr>
          </w:p>
        </w:tc>
        <w:tc>
          <w:tcPr>
            <w:tcW w:w="724" w:type="dxa"/>
            <w:vAlign w:val="bottom"/>
          </w:tcPr>
          <w:p w:rsidR="00F931EF" w:rsidRPr="00F931EF" w:rsidRDefault="00F931EF" w:rsidP="00F931EF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bottom"/>
          </w:tcPr>
          <w:p w:rsidR="00F931EF" w:rsidRPr="00F931EF" w:rsidRDefault="00F931EF" w:rsidP="00F931EF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114"/>
        </w:trPr>
        <w:tc>
          <w:tcPr>
            <w:tcW w:w="3969" w:type="dxa"/>
            <w:vMerge w:val="restart"/>
            <w:vAlign w:val="bottom"/>
          </w:tcPr>
          <w:p w:rsidR="00F931EF" w:rsidRPr="00F931EF" w:rsidRDefault="00F931EF" w:rsidP="00F931EF">
            <w:pPr>
              <w:ind w:left="60"/>
              <w:rPr>
                <w:sz w:val="20"/>
                <w:szCs w:val="20"/>
              </w:rPr>
            </w:pP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залучених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gramStart"/>
            <w:r w:rsidRPr="00F931EF">
              <w:rPr>
                <w:rFonts w:eastAsia="Times New Roman"/>
                <w:sz w:val="16"/>
                <w:szCs w:val="16"/>
              </w:rPr>
              <w:t>коштах</w:t>
            </w:r>
            <w:proofErr w:type="gramEnd"/>
            <w:r w:rsidRPr="00F931EF">
              <w:rPr>
                <w:rFonts w:eastAsia="Times New Roman"/>
                <w:sz w:val="16"/>
                <w:szCs w:val="16"/>
              </w:rPr>
              <w:t>, %</w:t>
            </w:r>
          </w:p>
        </w:tc>
        <w:tc>
          <w:tcPr>
            <w:tcW w:w="411" w:type="dxa"/>
            <w:vAlign w:val="bottom"/>
          </w:tcPr>
          <w:p w:rsidR="00F931EF" w:rsidRPr="00F931EF" w:rsidRDefault="00F931EF" w:rsidP="00F931EF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:rsidR="00F931EF" w:rsidRPr="00F931EF" w:rsidRDefault="00F931EF" w:rsidP="00F931EF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F931EF" w:rsidRPr="00F931EF" w:rsidRDefault="00F931EF" w:rsidP="00F931EF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F931EF" w:rsidRPr="00F931EF" w:rsidRDefault="00F931EF" w:rsidP="00F931EF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Merge/>
            <w:vAlign w:val="bottom"/>
          </w:tcPr>
          <w:p w:rsidR="00F931EF" w:rsidRPr="00F931EF" w:rsidRDefault="00F931EF" w:rsidP="00F931EF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F931EF" w:rsidRPr="00F931EF" w:rsidRDefault="00F931EF" w:rsidP="00F931EF">
            <w:pPr>
              <w:rPr>
                <w:sz w:val="9"/>
                <w:szCs w:val="9"/>
              </w:rPr>
            </w:pPr>
          </w:p>
        </w:tc>
        <w:tc>
          <w:tcPr>
            <w:tcW w:w="724" w:type="dxa"/>
            <w:vAlign w:val="bottom"/>
          </w:tcPr>
          <w:p w:rsidR="00F931EF" w:rsidRPr="00F931EF" w:rsidRDefault="00F931EF" w:rsidP="00F931EF">
            <w:pPr>
              <w:rPr>
                <w:sz w:val="9"/>
                <w:szCs w:val="9"/>
              </w:rPr>
            </w:pPr>
          </w:p>
        </w:tc>
        <w:tc>
          <w:tcPr>
            <w:tcW w:w="356" w:type="dxa"/>
            <w:vAlign w:val="bottom"/>
          </w:tcPr>
          <w:p w:rsidR="00F931EF" w:rsidRPr="00F931EF" w:rsidRDefault="00F931EF" w:rsidP="00F931EF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88"/>
        </w:trPr>
        <w:tc>
          <w:tcPr>
            <w:tcW w:w="3969" w:type="dxa"/>
            <w:vMerge/>
            <w:vAlign w:val="bottom"/>
          </w:tcPr>
          <w:p w:rsidR="00F931EF" w:rsidRPr="00F931EF" w:rsidRDefault="00F931EF" w:rsidP="00F931EF">
            <w:pPr>
              <w:rPr>
                <w:sz w:val="7"/>
                <w:szCs w:val="7"/>
              </w:rPr>
            </w:pPr>
          </w:p>
        </w:tc>
        <w:tc>
          <w:tcPr>
            <w:tcW w:w="411" w:type="dxa"/>
            <w:vAlign w:val="bottom"/>
          </w:tcPr>
          <w:p w:rsidR="00F931EF" w:rsidRPr="00F931EF" w:rsidRDefault="00F931EF" w:rsidP="00F931EF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:rsidR="00F931EF" w:rsidRPr="00F931EF" w:rsidRDefault="00F931EF" w:rsidP="00F931EF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F931EF" w:rsidRPr="00F931EF" w:rsidRDefault="00F931EF" w:rsidP="00F931EF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F931EF" w:rsidRPr="00F931EF" w:rsidRDefault="00F931EF" w:rsidP="00F931EF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F931EF" w:rsidRPr="00F931EF" w:rsidRDefault="00F931EF" w:rsidP="00F931EF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F931EF" w:rsidRPr="00F931EF" w:rsidRDefault="00F931EF" w:rsidP="00F931EF">
            <w:pPr>
              <w:rPr>
                <w:sz w:val="7"/>
                <w:szCs w:val="7"/>
              </w:rPr>
            </w:pPr>
          </w:p>
        </w:tc>
        <w:tc>
          <w:tcPr>
            <w:tcW w:w="724" w:type="dxa"/>
            <w:vAlign w:val="bottom"/>
          </w:tcPr>
          <w:p w:rsidR="00F931EF" w:rsidRPr="00F931EF" w:rsidRDefault="00F931EF" w:rsidP="00F931EF">
            <w:pPr>
              <w:rPr>
                <w:sz w:val="7"/>
                <w:szCs w:val="7"/>
              </w:rPr>
            </w:pPr>
          </w:p>
        </w:tc>
        <w:tc>
          <w:tcPr>
            <w:tcW w:w="356" w:type="dxa"/>
            <w:vAlign w:val="bottom"/>
          </w:tcPr>
          <w:p w:rsidR="00F931EF" w:rsidRPr="00F931EF" w:rsidRDefault="00F931EF" w:rsidP="00F931EF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202"/>
        </w:trPr>
        <w:tc>
          <w:tcPr>
            <w:tcW w:w="3969" w:type="dxa"/>
            <w:vAlign w:val="bottom"/>
          </w:tcPr>
          <w:p w:rsidR="00F931EF" w:rsidRPr="00F931EF" w:rsidRDefault="00F931EF" w:rsidP="00F931EF">
            <w:pPr>
              <w:ind w:left="60"/>
              <w:rPr>
                <w:sz w:val="20"/>
                <w:szCs w:val="20"/>
              </w:rPr>
            </w:pP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Коефіцієнт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монетизації</w:t>
            </w:r>
            <w:proofErr w:type="spellEnd"/>
          </w:p>
        </w:tc>
        <w:tc>
          <w:tcPr>
            <w:tcW w:w="411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F931EF" w:rsidRPr="00F931EF" w:rsidRDefault="00F931EF" w:rsidP="00F931EF">
            <w:pPr>
              <w:jc w:val="center"/>
              <w:rPr>
                <w:sz w:val="20"/>
                <w:szCs w:val="20"/>
              </w:rPr>
            </w:pPr>
            <w:r w:rsidRPr="00F931EF">
              <w:rPr>
                <w:rFonts w:eastAsia="Times New Roman"/>
                <w:w w:val="88"/>
                <w:sz w:val="16"/>
                <w:szCs w:val="16"/>
              </w:rPr>
              <w:t>+</w:t>
            </w:r>
          </w:p>
        </w:tc>
        <w:tc>
          <w:tcPr>
            <w:tcW w:w="724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56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202"/>
        </w:trPr>
        <w:tc>
          <w:tcPr>
            <w:tcW w:w="3969" w:type="dxa"/>
            <w:vAlign w:val="bottom"/>
          </w:tcPr>
          <w:p w:rsidR="00F931EF" w:rsidRPr="00F931EF" w:rsidRDefault="00F931EF" w:rsidP="00F931EF">
            <w:pPr>
              <w:ind w:left="60"/>
              <w:rPr>
                <w:sz w:val="20"/>
                <w:szCs w:val="20"/>
              </w:rPr>
            </w:pP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Коефіцієнт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готівкових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коштів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/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обсяг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готівки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до ВВП, %</w:t>
            </w:r>
          </w:p>
        </w:tc>
        <w:tc>
          <w:tcPr>
            <w:tcW w:w="411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F931EF" w:rsidRPr="00F931EF" w:rsidRDefault="00F931EF" w:rsidP="00F931EF">
            <w:pPr>
              <w:jc w:val="center"/>
              <w:rPr>
                <w:sz w:val="20"/>
                <w:szCs w:val="20"/>
              </w:rPr>
            </w:pPr>
            <w:r w:rsidRPr="00F931EF">
              <w:rPr>
                <w:rFonts w:eastAsia="Times New Roman"/>
                <w:w w:val="88"/>
                <w:sz w:val="16"/>
                <w:szCs w:val="16"/>
              </w:rPr>
              <w:t>+</w:t>
            </w:r>
          </w:p>
        </w:tc>
        <w:tc>
          <w:tcPr>
            <w:tcW w:w="724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56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202"/>
        </w:trPr>
        <w:tc>
          <w:tcPr>
            <w:tcW w:w="3969" w:type="dxa"/>
            <w:vAlign w:val="bottom"/>
          </w:tcPr>
          <w:p w:rsidR="00F931EF" w:rsidRPr="00F931EF" w:rsidRDefault="00F931EF" w:rsidP="00F931EF">
            <w:pPr>
              <w:ind w:left="60"/>
              <w:rPr>
                <w:sz w:val="20"/>
                <w:szCs w:val="20"/>
              </w:rPr>
            </w:pP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Коефіцієнт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доларизації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>, %</w:t>
            </w:r>
          </w:p>
        </w:tc>
        <w:tc>
          <w:tcPr>
            <w:tcW w:w="411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F931EF" w:rsidRPr="00F931EF" w:rsidRDefault="00F931EF" w:rsidP="00F931EF">
            <w:pPr>
              <w:jc w:val="center"/>
              <w:rPr>
                <w:sz w:val="20"/>
                <w:szCs w:val="20"/>
              </w:rPr>
            </w:pPr>
            <w:r w:rsidRPr="00F931EF">
              <w:rPr>
                <w:rFonts w:eastAsia="Times New Roman"/>
                <w:w w:val="88"/>
                <w:sz w:val="16"/>
                <w:szCs w:val="16"/>
              </w:rPr>
              <w:t>+</w:t>
            </w:r>
          </w:p>
        </w:tc>
        <w:tc>
          <w:tcPr>
            <w:tcW w:w="724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56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202"/>
        </w:trPr>
        <w:tc>
          <w:tcPr>
            <w:tcW w:w="3969" w:type="dxa"/>
            <w:vAlign w:val="bottom"/>
          </w:tcPr>
          <w:p w:rsidR="00F931EF" w:rsidRPr="00F931EF" w:rsidRDefault="00F931EF" w:rsidP="00F931EF">
            <w:pPr>
              <w:ind w:left="60"/>
              <w:rPr>
                <w:sz w:val="20"/>
                <w:szCs w:val="20"/>
              </w:rPr>
            </w:pP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Коефіцієнт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неплатоспроможних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банкі</w:t>
            </w:r>
            <w:proofErr w:type="gramStart"/>
            <w:r w:rsidRPr="00F931EF">
              <w:rPr>
                <w:rFonts w:eastAsia="Times New Roman"/>
                <w:sz w:val="16"/>
                <w:szCs w:val="16"/>
              </w:rPr>
              <w:t>в</w:t>
            </w:r>
            <w:proofErr w:type="spellEnd"/>
            <w:proofErr w:type="gramEnd"/>
            <w:r w:rsidRPr="00F931EF">
              <w:rPr>
                <w:rFonts w:eastAsia="Times New Roman"/>
                <w:sz w:val="16"/>
                <w:szCs w:val="16"/>
              </w:rPr>
              <w:t>, %</w:t>
            </w:r>
          </w:p>
        </w:tc>
        <w:tc>
          <w:tcPr>
            <w:tcW w:w="411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F931EF" w:rsidRPr="00F931EF" w:rsidRDefault="00F931EF" w:rsidP="00F931EF">
            <w:pPr>
              <w:jc w:val="center"/>
              <w:rPr>
                <w:sz w:val="20"/>
                <w:szCs w:val="20"/>
              </w:rPr>
            </w:pPr>
            <w:r w:rsidRPr="00F931EF">
              <w:rPr>
                <w:rFonts w:eastAsia="Times New Roman"/>
                <w:w w:val="88"/>
                <w:sz w:val="16"/>
                <w:szCs w:val="16"/>
              </w:rPr>
              <w:t>+</w:t>
            </w:r>
          </w:p>
        </w:tc>
        <w:tc>
          <w:tcPr>
            <w:tcW w:w="724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56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202"/>
        </w:trPr>
        <w:tc>
          <w:tcPr>
            <w:tcW w:w="3969" w:type="dxa"/>
            <w:vAlign w:val="bottom"/>
          </w:tcPr>
          <w:p w:rsidR="00F931EF" w:rsidRPr="00F931EF" w:rsidRDefault="00F931EF" w:rsidP="00F931EF">
            <w:pPr>
              <w:ind w:left="60"/>
              <w:rPr>
                <w:sz w:val="20"/>
                <w:szCs w:val="20"/>
              </w:rPr>
            </w:pP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Обсяг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ВВП на одну особу</w:t>
            </w:r>
          </w:p>
        </w:tc>
        <w:tc>
          <w:tcPr>
            <w:tcW w:w="411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724" w:type="dxa"/>
            <w:vAlign w:val="bottom"/>
          </w:tcPr>
          <w:p w:rsidR="00F931EF" w:rsidRPr="00F931EF" w:rsidRDefault="00F931EF" w:rsidP="00F931EF">
            <w:pPr>
              <w:ind w:right="325"/>
              <w:jc w:val="right"/>
              <w:rPr>
                <w:sz w:val="20"/>
                <w:szCs w:val="20"/>
              </w:rPr>
            </w:pPr>
            <w:r w:rsidRPr="00F931EF">
              <w:rPr>
                <w:rFonts w:eastAsia="Times New Roman"/>
                <w:sz w:val="16"/>
                <w:szCs w:val="16"/>
              </w:rPr>
              <w:t>+</w:t>
            </w:r>
          </w:p>
        </w:tc>
        <w:tc>
          <w:tcPr>
            <w:tcW w:w="356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202"/>
        </w:trPr>
        <w:tc>
          <w:tcPr>
            <w:tcW w:w="3969" w:type="dxa"/>
            <w:vAlign w:val="bottom"/>
          </w:tcPr>
          <w:p w:rsidR="00F931EF" w:rsidRPr="00F931EF" w:rsidRDefault="00F931EF" w:rsidP="00F931EF">
            <w:pPr>
              <w:ind w:left="60"/>
              <w:rPr>
                <w:sz w:val="20"/>
                <w:szCs w:val="20"/>
              </w:rPr>
            </w:pP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Частка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обробної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галузі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в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промисловості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>, %</w:t>
            </w:r>
          </w:p>
        </w:tc>
        <w:tc>
          <w:tcPr>
            <w:tcW w:w="411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724" w:type="dxa"/>
            <w:vAlign w:val="bottom"/>
          </w:tcPr>
          <w:p w:rsidR="00F931EF" w:rsidRPr="00F931EF" w:rsidRDefault="00F931EF" w:rsidP="00F931EF">
            <w:pPr>
              <w:ind w:right="325"/>
              <w:jc w:val="right"/>
              <w:rPr>
                <w:sz w:val="20"/>
                <w:szCs w:val="20"/>
              </w:rPr>
            </w:pPr>
            <w:r w:rsidRPr="00F931EF">
              <w:rPr>
                <w:rFonts w:eastAsia="Times New Roman"/>
                <w:sz w:val="16"/>
                <w:szCs w:val="16"/>
              </w:rPr>
              <w:t>+</w:t>
            </w:r>
          </w:p>
        </w:tc>
        <w:tc>
          <w:tcPr>
            <w:tcW w:w="356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202"/>
        </w:trPr>
        <w:tc>
          <w:tcPr>
            <w:tcW w:w="3969" w:type="dxa"/>
            <w:vAlign w:val="bottom"/>
          </w:tcPr>
          <w:p w:rsidR="00F931EF" w:rsidRPr="00F931EF" w:rsidRDefault="00F931EF" w:rsidP="00F931EF">
            <w:pPr>
              <w:ind w:left="60"/>
              <w:rPr>
                <w:sz w:val="20"/>
                <w:szCs w:val="20"/>
              </w:rPr>
            </w:pP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Обсяг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інвестицій</w:t>
            </w:r>
            <w:proofErr w:type="spellEnd"/>
          </w:p>
        </w:tc>
        <w:tc>
          <w:tcPr>
            <w:tcW w:w="411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724" w:type="dxa"/>
            <w:vAlign w:val="bottom"/>
          </w:tcPr>
          <w:p w:rsidR="00F931EF" w:rsidRPr="00F931EF" w:rsidRDefault="00F931EF" w:rsidP="00F931EF">
            <w:pPr>
              <w:ind w:right="325"/>
              <w:jc w:val="right"/>
              <w:rPr>
                <w:sz w:val="20"/>
                <w:szCs w:val="20"/>
              </w:rPr>
            </w:pPr>
            <w:r w:rsidRPr="00F931EF">
              <w:rPr>
                <w:rFonts w:eastAsia="Times New Roman"/>
                <w:sz w:val="16"/>
                <w:szCs w:val="16"/>
              </w:rPr>
              <w:t>+</w:t>
            </w:r>
          </w:p>
        </w:tc>
        <w:tc>
          <w:tcPr>
            <w:tcW w:w="356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202"/>
        </w:trPr>
        <w:tc>
          <w:tcPr>
            <w:tcW w:w="3969" w:type="dxa"/>
            <w:vAlign w:val="bottom"/>
          </w:tcPr>
          <w:p w:rsidR="00F931EF" w:rsidRPr="00F931EF" w:rsidRDefault="00F931EF" w:rsidP="00F931EF">
            <w:pPr>
              <w:rPr>
                <w:sz w:val="20"/>
                <w:szCs w:val="20"/>
              </w:rPr>
            </w:pP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Обсяг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боргу</w:t>
            </w:r>
          </w:p>
        </w:tc>
        <w:tc>
          <w:tcPr>
            <w:tcW w:w="411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724" w:type="dxa"/>
            <w:vAlign w:val="bottom"/>
          </w:tcPr>
          <w:p w:rsidR="00F931EF" w:rsidRPr="00F931EF" w:rsidRDefault="00F931EF" w:rsidP="00F931EF">
            <w:pPr>
              <w:ind w:right="325"/>
              <w:jc w:val="right"/>
              <w:rPr>
                <w:sz w:val="20"/>
                <w:szCs w:val="20"/>
              </w:rPr>
            </w:pPr>
            <w:r w:rsidRPr="00F931EF">
              <w:rPr>
                <w:rFonts w:eastAsia="Times New Roman"/>
                <w:sz w:val="16"/>
                <w:szCs w:val="16"/>
              </w:rPr>
              <w:t>+</w:t>
            </w:r>
          </w:p>
        </w:tc>
        <w:tc>
          <w:tcPr>
            <w:tcW w:w="356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202"/>
        </w:trPr>
        <w:tc>
          <w:tcPr>
            <w:tcW w:w="3969" w:type="dxa"/>
            <w:vAlign w:val="bottom"/>
          </w:tcPr>
          <w:p w:rsidR="00F931EF" w:rsidRPr="00F931EF" w:rsidRDefault="00F931EF" w:rsidP="00F931EF">
            <w:pPr>
              <w:rPr>
                <w:sz w:val="20"/>
                <w:szCs w:val="20"/>
              </w:rPr>
            </w:pP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Випереджувальні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темпи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росту М</w:t>
            </w:r>
            <w:proofErr w:type="gramStart"/>
            <w:r w:rsidRPr="00F931EF">
              <w:rPr>
                <w:rFonts w:eastAsia="Times New Roman"/>
                <w:sz w:val="16"/>
                <w:szCs w:val="16"/>
              </w:rPr>
              <w:t>2</w:t>
            </w:r>
            <w:proofErr w:type="gramEnd"/>
            <w:r w:rsidRPr="00F931EF">
              <w:rPr>
                <w:rFonts w:eastAsia="Times New Roman"/>
                <w:sz w:val="16"/>
                <w:szCs w:val="16"/>
              </w:rPr>
              <w:t xml:space="preserve"> над ВВП, %</w:t>
            </w:r>
          </w:p>
        </w:tc>
        <w:tc>
          <w:tcPr>
            <w:tcW w:w="411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724" w:type="dxa"/>
            <w:vAlign w:val="bottom"/>
          </w:tcPr>
          <w:p w:rsidR="00F931EF" w:rsidRPr="00F931EF" w:rsidRDefault="00F931EF" w:rsidP="00F931EF">
            <w:pPr>
              <w:ind w:right="325"/>
              <w:jc w:val="right"/>
              <w:rPr>
                <w:sz w:val="20"/>
                <w:szCs w:val="20"/>
              </w:rPr>
            </w:pPr>
            <w:r w:rsidRPr="00F931EF">
              <w:rPr>
                <w:rFonts w:eastAsia="Times New Roman"/>
                <w:sz w:val="16"/>
                <w:szCs w:val="16"/>
              </w:rPr>
              <w:t>+</w:t>
            </w:r>
          </w:p>
        </w:tc>
        <w:tc>
          <w:tcPr>
            <w:tcW w:w="356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202"/>
        </w:trPr>
        <w:tc>
          <w:tcPr>
            <w:tcW w:w="3969" w:type="dxa"/>
            <w:vAlign w:val="bottom"/>
          </w:tcPr>
          <w:p w:rsidR="00F931EF" w:rsidRPr="00F931EF" w:rsidRDefault="00F931EF" w:rsidP="00F931EF">
            <w:pPr>
              <w:rPr>
                <w:sz w:val="20"/>
                <w:szCs w:val="20"/>
              </w:rPr>
            </w:pP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Вартість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банківських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кредиті</w:t>
            </w:r>
            <w:proofErr w:type="gramStart"/>
            <w:r w:rsidRPr="00F931EF">
              <w:rPr>
                <w:rFonts w:eastAsia="Times New Roman"/>
                <w:sz w:val="16"/>
                <w:szCs w:val="16"/>
              </w:rPr>
              <w:t>в</w:t>
            </w:r>
            <w:proofErr w:type="spellEnd"/>
            <w:proofErr w:type="gramEnd"/>
          </w:p>
        </w:tc>
        <w:tc>
          <w:tcPr>
            <w:tcW w:w="411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724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56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202"/>
        </w:trPr>
        <w:tc>
          <w:tcPr>
            <w:tcW w:w="3969" w:type="dxa"/>
            <w:vAlign w:val="bottom"/>
          </w:tcPr>
          <w:p w:rsidR="00F931EF" w:rsidRPr="00F931EF" w:rsidRDefault="00F931EF" w:rsidP="00F931EF">
            <w:pPr>
              <w:rPr>
                <w:sz w:val="20"/>
                <w:szCs w:val="20"/>
              </w:rPr>
            </w:pP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Нормативи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обов’язкового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резервування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>, %</w:t>
            </w:r>
          </w:p>
        </w:tc>
        <w:tc>
          <w:tcPr>
            <w:tcW w:w="411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724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56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202"/>
        </w:trPr>
        <w:tc>
          <w:tcPr>
            <w:tcW w:w="3969" w:type="dxa"/>
            <w:vAlign w:val="bottom"/>
          </w:tcPr>
          <w:p w:rsidR="00F931EF" w:rsidRPr="00F931EF" w:rsidRDefault="00F931EF" w:rsidP="00F931EF">
            <w:pPr>
              <w:rPr>
                <w:sz w:val="20"/>
                <w:szCs w:val="20"/>
              </w:rPr>
            </w:pP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Дохідність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1 грн.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активів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і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капіталу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>*</w:t>
            </w:r>
          </w:p>
        </w:tc>
        <w:tc>
          <w:tcPr>
            <w:tcW w:w="411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724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56" w:type="dxa"/>
            <w:vAlign w:val="bottom"/>
          </w:tcPr>
          <w:p w:rsidR="00F931EF" w:rsidRPr="00F931EF" w:rsidRDefault="00F931EF" w:rsidP="00F931EF">
            <w:pPr>
              <w:ind w:right="66"/>
              <w:jc w:val="right"/>
              <w:rPr>
                <w:sz w:val="20"/>
                <w:szCs w:val="20"/>
              </w:rPr>
            </w:pPr>
            <w:r w:rsidRPr="00F931EF">
              <w:rPr>
                <w:rFonts w:eastAsia="Times New Roman"/>
                <w:sz w:val="16"/>
                <w:szCs w:val="16"/>
              </w:rPr>
              <w:t>+</w:t>
            </w: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202"/>
        </w:trPr>
        <w:tc>
          <w:tcPr>
            <w:tcW w:w="3969" w:type="dxa"/>
            <w:vAlign w:val="bottom"/>
          </w:tcPr>
          <w:p w:rsidR="00F931EF" w:rsidRPr="00F931EF" w:rsidRDefault="00F931EF" w:rsidP="00F931EF">
            <w:pPr>
              <w:rPr>
                <w:sz w:val="20"/>
                <w:szCs w:val="20"/>
              </w:rPr>
            </w:pPr>
            <w:proofErr w:type="spellStart"/>
            <w:r w:rsidRPr="00F931EF">
              <w:rPr>
                <w:rFonts w:eastAsia="Times New Roman"/>
                <w:sz w:val="16"/>
                <w:szCs w:val="16"/>
              </w:rPr>
              <w:lastRenderedPageBreak/>
              <w:t>Можливості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використання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внутрішніх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резервів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банку*</w:t>
            </w:r>
          </w:p>
        </w:tc>
        <w:tc>
          <w:tcPr>
            <w:tcW w:w="411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724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56" w:type="dxa"/>
            <w:vAlign w:val="bottom"/>
          </w:tcPr>
          <w:p w:rsidR="00F931EF" w:rsidRPr="00F931EF" w:rsidRDefault="00F931EF" w:rsidP="00F931EF">
            <w:pPr>
              <w:ind w:right="66"/>
              <w:jc w:val="right"/>
              <w:rPr>
                <w:sz w:val="20"/>
                <w:szCs w:val="20"/>
              </w:rPr>
            </w:pPr>
            <w:r w:rsidRPr="00F931EF">
              <w:rPr>
                <w:rFonts w:eastAsia="Times New Roman"/>
                <w:sz w:val="16"/>
                <w:szCs w:val="16"/>
              </w:rPr>
              <w:t>+</w:t>
            </w: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202"/>
        </w:trPr>
        <w:tc>
          <w:tcPr>
            <w:tcW w:w="3969" w:type="dxa"/>
            <w:vAlign w:val="bottom"/>
          </w:tcPr>
          <w:p w:rsidR="00F931EF" w:rsidRPr="00F931EF" w:rsidRDefault="00F931EF" w:rsidP="00F931E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931EF">
              <w:rPr>
                <w:rFonts w:eastAsia="Times New Roman"/>
                <w:sz w:val="16"/>
                <w:szCs w:val="16"/>
              </w:rPr>
              <w:t>Пр</w:t>
            </w:r>
            <w:proofErr w:type="gramEnd"/>
            <w:r w:rsidRPr="00F931EF">
              <w:rPr>
                <w:rFonts w:eastAsia="Times New Roman"/>
                <w:sz w:val="16"/>
                <w:szCs w:val="16"/>
              </w:rPr>
              <w:t>іоритетність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напрямів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використання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капіталу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>*</w:t>
            </w:r>
          </w:p>
        </w:tc>
        <w:tc>
          <w:tcPr>
            <w:tcW w:w="411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724" w:type="dxa"/>
            <w:vAlign w:val="bottom"/>
          </w:tcPr>
          <w:p w:rsidR="00F931EF" w:rsidRPr="00F931EF" w:rsidRDefault="00F931EF" w:rsidP="00F931EF">
            <w:pPr>
              <w:rPr>
                <w:sz w:val="17"/>
                <w:szCs w:val="17"/>
              </w:rPr>
            </w:pPr>
          </w:p>
        </w:tc>
        <w:tc>
          <w:tcPr>
            <w:tcW w:w="356" w:type="dxa"/>
            <w:vAlign w:val="bottom"/>
          </w:tcPr>
          <w:p w:rsidR="00F931EF" w:rsidRPr="00F931EF" w:rsidRDefault="00F931EF" w:rsidP="00F931EF">
            <w:pPr>
              <w:ind w:right="66"/>
              <w:jc w:val="right"/>
              <w:rPr>
                <w:sz w:val="20"/>
                <w:szCs w:val="20"/>
              </w:rPr>
            </w:pPr>
            <w:r w:rsidRPr="00F931EF">
              <w:rPr>
                <w:rFonts w:eastAsia="Times New Roman"/>
                <w:sz w:val="16"/>
                <w:szCs w:val="16"/>
              </w:rPr>
              <w:t>+</w:t>
            </w: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  <w:tr w:rsidR="00F931EF" w:rsidRPr="00F931EF" w:rsidTr="00B6133D">
        <w:trPr>
          <w:trHeight w:val="210"/>
        </w:trPr>
        <w:tc>
          <w:tcPr>
            <w:tcW w:w="6804" w:type="dxa"/>
            <w:gridSpan w:val="8"/>
            <w:vAlign w:val="bottom"/>
          </w:tcPr>
          <w:p w:rsidR="00F931EF" w:rsidRPr="00F931EF" w:rsidRDefault="00F931EF" w:rsidP="00F931EF">
            <w:pPr>
              <w:ind w:left="80"/>
              <w:jc w:val="center"/>
              <w:rPr>
                <w:sz w:val="20"/>
                <w:szCs w:val="20"/>
              </w:rPr>
            </w:pPr>
            <w:r w:rsidRPr="00F931EF">
              <w:rPr>
                <w:rFonts w:eastAsia="Times New Roman"/>
                <w:sz w:val="16"/>
                <w:szCs w:val="16"/>
              </w:rPr>
              <w:t xml:space="preserve">*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Показник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що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застосовується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для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оцінки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фінансової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безпеки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тільки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931EF">
              <w:rPr>
                <w:rFonts w:eastAsia="Times New Roman"/>
                <w:sz w:val="16"/>
                <w:szCs w:val="16"/>
              </w:rPr>
              <w:t>комерційного</w:t>
            </w:r>
            <w:proofErr w:type="spellEnd"/>
            <w:r w:rsidRPr="00F931EF">
              <w:rPr>
                <w:rFonts w:eastAsia="Times New Roman"/>
                <w:sz w:val="16"/>
                <w:szCs w:val="16"/>
              </w:rPr>
              <w:t xml:space="preserve"> банку</w:t>
            </w:r>
          </w:p>
        </w:tc>
        <w:tc>
          <w:tcPr>
            <w:tcW w:w="356" w:type="dxa"/>
            <w:vAlign w:val="bottom"/>
          </w:tcPr>
          <w:p w:rsidR="00F931EF" w:rsidRPr="00F931EF" w:rsidRDefault="00F931EF" w:rsidP="00F931EF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F931EF" w:rsidRPr="00F931EF" w:rsidRDefault="00F931EF" w:rsidP="00F931EF">
            <w:pPr>
              <w:rPr>
                <w:sz w:val="1"/>
                <w:szCs w:val="1"/>
              </w:rPr>
            </w:pPr>
          </w:p>
        </w:tc>
      </w:tr>
    </w:tbl>
    <w:p w:rsidR="009134EA" w:rsidRPr="00F931EF" w:rsidRDefault="009134EA">
      <w:pPr>
        <w:spacing w:line="200" w:lineRule="exact"/>
        <w:rPr>
          <w:sz w:val="20"/>
          <w:szCs w:val="20"/>
        </w:rPr>
      </w:pPr>
    </w:p>
    <w:p w:rsidR="009612D4" w:rsidRDefault="009612D4">
      <w:pPr>
        <w:spacing w:line="200" w:lineRule="exact"/>
        <w:rPr>
          <w:sz w:val="20"/>
          <w:szCs w:val="20"/>
          <w:lang w:val="uk-UA"/>
        </w:rPr>
      </w:pPr>
    </w:p>
    <w:p w:rsidR="009612D4" w:rsidRPr="009612D4" w:rsidRDefault="009612D4">
      <w:pPr>
        <w:spacing w:line="200" w:lineRule="exact"/>
        <w:rPr>
          <w:sz w:val="20"/>
          <w:szCs w:val="20"/>
          <w:lang w:val="uk-UA"/>
        </w:rPr>
      </w:pPr>
    </w:p>
    <w:p w:rsidR="009134EA" w:rsidRDefault="009134EA">
      <w:pPr>
        <w:sectPr w:rsidR="009134EA">
          <w:type w:val="continuous"/>
          <w:pgSz w:w="9640" w:h="14173"/>
          <w:pgMar w:top="591" w:right="858" w:bottom="5" w:left="860" w:header="0" w:footer="0" w:gutter="0"/>
          <w:cols w:space="720" w:equalWidth="0">
            <w:col w:w="7920"/>
          </w:cols>
        </w:sectPr>
      </w:pPr>
    </w:p>
    <w:p w:rsidR="009134EA" w:rsidRDefault="009134EA">
      <w:pPr>
        <w:spacing w:line="20" w:lineRule="exact"/>
        <w:rPr>
          <w:sz w:val="20"/>
          <w:szCs w:val="20"/>
        </w:rPr>
      </w:pPr>
    </w:p>
    <w:p w:rsidR="009134EA" w:rsidRDefault="009134EA">
      <w:pPr>
        <w:spacing w:line="75" w:lineRule="exact"/>
        <w:rPr>
          <w:sz w:val="20"/>
          <w:szCs w:val="20"/>
        </w:rPr>
      </w:pPr>
    </w:p>
    <w:p w:rsidR="009134EA" w:rsidRPr="009612D4" w:rsidRDefault="00F67BF6" w:rsidP="009612D4">
      <w:pPr>
        <w:numPr>
          <w:ilvl w:val="1"/>
          <w:numId w:val="3"/>
        </w:numPr>
        <w:tabs>
          <w:tab w:val="left" w:pos="532"/>
        </w:tabs>
        <w:spacing w:line="221" w:lineRule="auto"/>
        <w:ind w:left="10" w:right="20" w:firstLine="273"/>
        <w:jc w:val="both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аналізованих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вище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методів</w:t>
      </w:r>
      <w:proofErr w:type="spellEnd"/>
      <w:r>
        <w:rPr>
          <w:rFonts w:eastAsia="Times New Roman"/>
          <w:sz w:val="20"/>
          <w:szCs w:val="20"/>
        </w:rPr>
        <w:t xml:space="preserve"> і методик </w:t>
      </w:r>
      <w:proofErr w:type="spellStart"/>
      <w:r>
        <w:rPr>
          <w:rFonts w:eastAsia="Times New Roman"/>
          <w:sz w:val="20"/>
          <w:szCs w:val="20"/>
        </w:rPr>
        <w:t>оцінки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фінансової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економічної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чи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загальної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безпеки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банків</w:t>
      </w:r>
      <w:proofErr w:type="spellEnd"/>
      <w:r>
        <w:rPr>
          <w:rFonts w:eastAsia="Times New Roman"/>
          <w:sz w:val="20"/>
          <w:szCs w:val="20"/>
        </w:rPr>
        <w:t xml:space="preserve"> і </w:t>
      </w:r>
      <w:proofErr w:type="spellStart"/>
      <w:r>
        <w:rPr>
          <w:rFonts w:eastAsia="Times New Roman"/>
          <w:sz w:val="20"/>
          <w:szCs w:val="20"/>
        </w:rPr>
        <w:t>банківської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системи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заслу</w:t>
      </w:r>
      <w:r w:rsidR="009612D4">
        <w:rPr>
          <w:rFonts w:eastAsia="Times New Roman"/>
          <w:sz w:val="20"/>
          <w:szCs w:val="20"/>
        </w:rPr>
        <w:t>говує</w:t>
      </w:r>
      <w:proofErr w:type="spellEnd"/>
      <w:r w:rsidR="009612D4">
        <w:rPr>
          <w:rFonts w:eastAsia="Times New Roman"/>
          <w:sz w:val="20"/>
          <w:szCs w:val="20"/>
        </w:rPr>
        <w:t xml:space="preserve"> на </w:t>
      </w:r>
      <w:proofErr w:type="spellStart"/>
      <w:r w:rsidR="009612D4">
        <w:rPr>
          <w:rFonts w:eastAsia="Times New Roman"/>
          <w:sz w:val="20"/>
          <w:szCs w:val="20"/>
        </w:rPr>
        <w:t>увагу</w:t>
      </w:r>
      <w:proofErr w:type="spellEnd"/>
      <w:r w:rsidR="009612D4">
        <w:rPr>
          <w:rFonts w:eastAsia="Times New Roman"/>
          <w:sz w:val="20"/>
          <w:szCs w:val="20"/>
        </w:rPr>
        <w:t xml:space="preserve"> </w:t>
      </w:r>
      <w:proofErr w:type="spellStart"/>
      <w:proofErr w:type="gramStart"/>
      <w:r w:rsidR="009612D4">
        <w:rPr>
          <w:rFonts w:eastAsia="Times New Roman"/>
          <w:sz w:val="20"/>
          <w:szCs w:val="20"/>
        </w:rPr>
        <w:t>п</w:t>
      </w:r>
      <w:proofErr w:type="gramEnd"/>
      <w:r w:rsidR="009612D4">
        <w:rPr>
          <w:rFonts w:eastAsia="Times New Roman"/>
          <w:sz w:val="20"/>
          <w:szCs w:val="20"/>
        </w:rPr>
        <w:t>ідхід</w:t>
      </w:r>
      <w:proofErr w:type="spellEnd"/>
      <w:r w:rsidR="009612D4">
        <w:rPr>
          <w:rFonts w:eastAsia="Times New Roman"/>
          <w:sz w:val="20"/>
          <w:szCs w:val="20"/>
        </w:rPr>
        <w:t xml:space="preserve"> Н.М. </w:t>
      </w:r>
      <w:proofErr w:type="spellStart"/>
      <w:r w:rsidR="009612D4">
        <w:rPr>
          <w:rFonts w:eastAsia="Times New Roman"/>
          <w:sz w:val="20"/>
          <w:szCs w:val="20"/>
        </w:rPr>
        <w:t>Нато</w:t>
      </w:r>
      <w:r w:rsidR="00F931EF">
        <w:rPr>
          <w:rFonts w:eastAsia="Times New Roman"/>
          <w:sz w:val="20"/>
          <w:szCs w:val="20"/>
        </w:rPr>
        <w:t>чеєвої</w:t>
      </w:r>
      <w:proofErr w:type="spellEnd"/>
      <w:r>
        <w:rPr>
          <w:rFonts w:eastAsia="Times New Roman"/>
          <w:sz w:val="20"/>
          <w:szCs w:val="20"/>
        </w:rPr>
        <w:t xml:space="preserve">, яка </w:t>
      </w:r>
      <w:proofErr w:type="spellStart"/>
      <w:r>
        <w:rPr>
          <w:rFonts w:eastAsia="Times New Roman"/>
          <w:sz w:val="20"/>
          <w:szCs w:val="20"/>
        </w:rPr>
        <w:t>запропонувала</w:t>
      </w:r>
      <w:proofErr w:type="spellEnd"/>
      <w:r>
        <w:rPr>
          <w:rFonts w:eastAsia="Times New Roman"/>
          <w:sz w:val="20"/>
          <w:szCs w:val="20"/>
        </w:rPr>
        <w:t xml:space="preserve"> м</w:t>
      </w:r>
      <w:r w:rsidR="009612D4">
        <w:rPr>
          <w:rFonts w:eastAsia="Times New Roman"/>
          <w:sz w:val="20"/>
          <w:szCs w:val="20"/>
        </w:rPr>
        <w:t xml:space="preserve">етодику </w:t>
      </w:r>
      <w:proofErr w:type="spellStart"/>
      <w:r w:rsidR="009612D4">
        <w:rPr>
          <w:rFonts w:eastAsia="Times New Roman"/>
          <w:sz w:val="20"/>
          <w:szCs w:val="20"/>
        </w:rPr>
        <w:t>оцінки</w:t>
      </w:r>
      <w:proofErr w:type="spellEnd"/>
      <w:r w:rsidR="009612D4">
        <w:rPr>
          <w:rFonts w:eastAsia="Times New Roman"/>
          <w:sz w:val="20"/>
          <w:szCs w:val="20"/>
        </w:rPr>
        <w:t xml:space="preserve"> «</w:t>
      </w:r>
      <w:proofErr w:type="spellStart"/>
      <w:r w:rsidR="009612D4">
        <w:rPr>
          <w:rFonts w:eastAsia="Times New Roman"/>
          <w:sz w:val="20"/>
          <w:szCs w:val="20"/>
        </w:rPr>
        <w:t>стратегічної</w:t>
      </w:r>
      <w:proofErr w:type="spellEnd"/>
      <w:r w:rsidR="009612D4">
        <w:rPr>
          <w:rFonts w:eastAsia="Times New Roman"/>
          <w:sz w:val="20"/>
          <w:szCs w:val="20"/>
        </w:rPr>
        <w:t xml:space="preserve"> </w:t>
      </w:r>
      <w:proofErr w:type="spellStart"/>
      <w:r w:rsidR="009612D4">
        <w:rPr>
          <w:rFonts w:eastAsia="Times New Roman"/>
          <w:sz w:val="20"/>
          <w:szCs w:val="20"/>
        </w:rPr>
        <w:t>фі</w:t>
      </w:r>
      <w:r>
        <w:rPr>
          <w:rFonts w:eastAsia="Times New Roman"/>
          <w:sz w:val="20"/>
          <w:szCs w:val="20"/>
        </w:rPr>
        <w:t>нансової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безпеки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комерційних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банків</w:t>
      </w:r>
      <w:proofErr w:type="spellEnd"/>
      <w:r>
        <w:rPr>
          <w:rFonts w:eastAsia="Times New Roman"/>
          <w:sz w:val="20"/>
          <w:szCs w:val="20"/>
        </w:rPr>
        <w:t xml:space="preserve">». </w:t>
      </w:r>
      <w:proofErr w:type="spellStart"/>
      <w:r>
        <w:rPr>
          <w:rFonts w:eastAsia="Times New Roman"/>
          <w:sz w:val="20"/>
          <w:szCs w:val="20"/>
        </w:rPr>
        <w:t>Ця</w:t>
      </w:r>
      <w:proofErr w:type="spellEnd"/>
      <w:r>
        <w:rPr>
          <w:rFonts w:eastAsia="Times New Roman"/>
          <w:sz w:val="20"/>
          <w:szCs w:val="20"/>
        </w:rPr>
        <w:t xml:space="preserve"> методика </w:t>
      </w:r>
      <w:proofErr w:type="spellStart"/>
      <w:r w:rsidR="009612D4">
        <w:rPr>
          <w:rFonts w:eastAsia="Times New Roman"/>
          <w:sz w:val="20"/>
          <w:szCs w:val="20"/>
        </w:rPr>
        <w:t>ґрунтується</w:t>
      </w:r>
      <w:proofErr w:type="spellEnd"/>
      <w:r w:rsidR="009612D4">
        <w:rPr>
          <w:rFonts w:eastAsia="Times New Roman"/>
          <w:sz w:val="20"/>
          <w:szCs w:val="20"/>
        </w:rPr>
        <w:t xml:space="preserve"> на </w:t>
      </w:r>
      <w:proofErr w:type="spellStart"/>
      <w:r w:rsidR="009612D4">
        <w:rPr>
          <w:rFonts w:eastAsia="Times New Roman"/>
          <w:sz w:val="20"/>
          <w:szCs w:val="20"/>
        </w:rPr>
        <w:t>індикаторах</w:t>
      </w:r>
      <w:proofErr w:type="spellEnd"/>
      <w:r w:rsidR="009612D4">
        <w:rPr>
          <w:rFonts w:eastAsia="Times New Roman"/>
          <w:sz w:val="20"/>
          <w:szCs w:val="20"/>
        </w:rPr>
        <w:t xml:space="preserve"> </w:t>
      </w:r>
      <w:proofErr w:type="spellStart"/>
      <w:r w:rsidR="009612D4">
        <w:rPr>
          <w:rFonts w:eastAsia="Times New Roman"/>
          <w:sz w:val="20"/>
          <w:szCs w:val="20"/>
        </w:rPr>
        <w:t>внут</w:t>
      </w:r>
      <w:r>
        <w:rPr>
          <w:rFonts w:eastAsia="Times New Roman"/>
          <w:sz w:val="20"/>
          <w:szCs w:val="20"/>
        </w:rPr>
        <w:t>рішньої</w:t>
      </w:r>
      <w:proofErr w:type="spellEnd"/>
      <w:r>
        <w:rPr>
          <w:rFonts w:eastAsia="Times New Roman"/>
          <w:sz w:val="20"/>
          <w:szCs w:val="20"/>
        </w:rPr>
        <w:t xml:space="preserve"> і </w:t>
      </w:r>
      <w:proofErr w:type="spellStart"/>
      <w:r>
        <w:rPr>
          <w:rFonts w:eastAsia="Times New Roman"/>
          <w:sz w:val="20"/>
          <w:szCs w:val="20"/>
        </w:rPr>
        <w:t>зовнішньої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міжнародної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фінансової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безпеки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комерційних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банків</w:t>
      </w:r>
      <w:proofErr w:type="spellEnd"/>
      <w:r>
        <w:rPr>
          <w:rFonts w:eastAsia="Times New Roman"/>
          <w:sz w:val="20"/>
          <w:szCs w:val="20"/>
        </w:rPr>
        <w:t xml:space="preserve">, а </w:t>
      </w:r>
      <w:proofErr w:type="spellStart"/>
      <w:r>
        <w:rPr>
          <w:rFonts w:eastAsia="Times New Roman"/>
          <w:sz w:val="20"/>
          <w:szCs w:val="20"/>
        </w:rPr>
        <w:t>також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eastAsia="Times New Roman"/>
          <w:sz w:val="20"/>
          <w:szCs w:val="20"/>
        </w:rPr>
        <w:t>включає</w:t>
      </w:r>
      <w:proofErr w:type="spellEnd"/>
      <w:r>
        <w:rPr>
          <w:rFonts w:eastAsia="Times New Roman"/>
          <w:sz w:val="20"/>
          <w:szCs w:val="20"/>
        </w:rPr>
        <w:t xml:space="preserve"> в</w:t>
      </w:r>
      <w:proofErr w:type="gramEnd"/>
      <w:r>
        <w:rPr>
          <w:rFonts w:eastAsia="Times New Roman"/>
          <w:sz w:val="20"/>
          <w:szCs w:val="20"/>
        </w:rPr>
        <w:t xml:space="preserve"> себе </w:t>
      </w:r>
      <w:proofErr w:type="spellStart"/>
      <w:r>
        <w:rPr>
          <w:rFonts w:eastAsia="Times New Roman"/>
          <w:sz w:val="20"/>
          <w:szCs w:val="20"/>
        </w:rPr>
        <w:t>визначення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стадій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фінансової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безпеки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комерційних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банків</w:t>
      </w:r>
      <w:proofErr w:type="spellEnd"/>
      <w:r>
        <w:rPr>
          <w:rFonts w:eastAsia="Times New Roman"/>
          <w:sz w:val="20"/>
          <w:szCs w:val="20"/>
        </w:rPr>
        <w:t>,</w:t>
      </w:r>
      <w:r w:rsidR="009612D4">
        <w:rPr>
          <w:rFonts w:eastAsia="Times New Roman"/>
          <w:sz w:val="20"/>
          <w:szCs w:val="20"/>
          <w:lang w:val="uk-UA"/>
        </w:rPr>
        <w:t xml:space="preserve"> а </w:t>
      </w:r>
      <w:proofErr w:type="spellStart"/>
      <w:r w:rsidRPr="009612D4">
        <w:rPr>
          <w:rFonts w:eastAsia="Times New Roman"/>
          <w:sz w:val="20"/>
          <w:szCs w:val="20"/>
        </w:rPr>
        <w:t>саме</w:t>
      </w:r>
      <w:proofErr w:type="spellEnd"/>
      <w:r w:rsidRPr="009612D4">
        <w:rPr>
          <w:rFonts w:eastAsia="Times New Roman"/>
          <w:sz w:val="20"/>
          <w:szCs w:val="20"/>
        </w:rPr>
        <w:t xml:space="preserve">: </w:t>
      </w:r>
      <w:proofErr w:type="spellStart"/>
      <w:r w:rsidRPr="009612D4">
        <w:rPr>
          <w:rFonts w:eastAsia="Times New Roman"/>
          <w:sz w:val="20"/>
          <w:szCs w:val="20"/>
        </w:rPr>
        <w:t>стабільна</w:t>
      </w:r>
      <w:proofErr w:type="spellEnd"/>
      <w:r w:rsidRPr="009612D4">
        <w:rPr>
          <w:rFonts w:eastAsia="Times New Roman"/>
          <w:sz w:val="20"/>
          <w:szCs w:val="20"/>
        </w:rPr>
        <w:t xml:space="preserve">, </w:t>
      </w:r>
      <w:proofErr w:type="spellStart"/>
      <w:r w:rsidRPr="009612D4">
        <w:rPr>
          <w:rFonts w:eastAsia="Times New Roman"/>
          <w:sz w:val="20"/>
          <w:szCs w:val="20"/>
        </w:rPr>
        <w:t>нестабільна</w:t>
      </w:r>
      <w:proofErr w:type="spellEnd"/>
      <w:r w:rsidRPr="009612D4">
        <w:rPr>
          <w:rFonts w:eastAsia="Times New Roman"/>
          <w:sz w:val="20"/>
          <w:szCs w:val="20"/>
        </w:rPr>
        <w:t xml:space="preserve">, </w:t>
      </w:r>
      <w:proofErr w:type="spellStart"/>
      <w:r w:rsidRPr="009612D4">
        <w:rPr>
          <w:rFonts w:eastAsia="Times New Roman"/>
          <w:sz w:val="20"/>
          <w:szCs w:val="20"/>
        </w:rPr>
        <w:t>загрозлива</w:t>
      </w:r>
      <w:proofErr w:type="spellEnd"/>
      <w:r w:rsidRPr="009612D4">
        <w:rPr>
          <w:rFonts w:eastAsia="Times New Roman"/>
          <w:sz w:val="20"/>
          <w:szCs w:val="20"/>
        </w:rPr>
        <w:t xml:space="preserve">, критична, </w:t>
      </w:r>
      <w:proofErr w:type="spellStart"/>
      <w:r w:rsidRPr="009612D4">
        <w:rPr>
          <w:rFonts w:eastAsia="Times New Roman"/>
          <w:sz w:val="20"/>
          <w:szCs w:val="20"/>
        </w:rPr>
        <w:t>катастрофічна</w:t>
      </w:r>
      <w:proofErr w:type="spellEnd"/>
      <w:r w:rsidRPr="009612D4">
        <w:rPr>
          <w:rFonts w:eastAsia="Times New Roman"/>
          <w:sz w:val="20"/>
          <w:szCs w:val="20"/>
        </w:rPr>
        <w:t>.</w:t>
      </w:r>
    </w:p>
    <w:p w:rsidR="009612D4" w:rsidRDefault="00F67BF6">
      <w:pPr>
        <w:ind w:left="10" w:firstLine="283"/>
        <w:jc w:val="both"/>
        <w:rPr>
          <w:rFonts w:eastAsia="Times New Roman"/>
          <w:sz w:val="20"/>
          <w:szCs w:val="20"/>
          <w:lang w:val="uk-UA"/>
        </w:rPr>
      </w:pPr>
      <w:proofErr w:type="spellStart"/>
      <w:r>
        <w:rPr>
          <w:rFonts w:eastAsia="Times New Roman"/>
          <w:sz w:val="20"/>
          <w:szCs w:val="20"/>
        </w:rPr>
        <w:t>Однак</w:t>
      </w:r>
      <w:proofErr w:type="spellEnd"/>
      <w:r>
        <w:rPr>
          <w:rFonts w:eastAsia="Times New Roman"/>
          <w:sz w:val="20"/>
          <w:szCs w:val="20"/>
        </w:rPr>
        <w:t xml:space="preserve"> </w:t>
      </w:r>
      <w:r w:rsidR="004C74D2">
        <w:rPr>
          <w:rFonts w:eastAsia="Times New Roman"/>
          <w:sz w:val="20"/>
          <w:szCs w:val="20"/>
          <w:lang w:val="uk-UA"/>
        </w:rPr>
        <w:t>перелічені</w:t>
      </w:r>
      <w:r w:rsidR="004C74D2">
        <w:rPr>
          <w:rFonts w:eastAsia="Times New Roman"/>
          <w:sz w:val="20"/>
          <w:szCs w:val="20"/>
        </w:rPr>
        <w:t xml:space="preserve"> </w:t>
      </w:r>
      <w:proofErr w:type="spellStart"/>
      <w:r w:rsidR="004C74D2">
        <w:rPr>
          <w:rFonts w:eastAsia="Times New Roman"/>
          <w:sz w:val="20"/>
          <w:szCs w:val="20"/>
        </w:rPr>
        <w:t>коефіцієнт</w:t>
      </w:r>
      <w:proofErr w:type="spellEnd"/>
      <w:r w:rsidR="004C74D2">
        <w:rPr>
          <w:rFonts w:eastAsia="Times New Roman"/>
          <w:sz w:val="20"/>
          <w:szCs w:val="20"/>
          <w:lang w:val="uk-UA"/>
        </w:rPr>
        <w:t>и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оцінки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фінансової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безпеки</w:t>
      </w:r>
      <w:proofErr w:type="spellEnd"/>
      <w:r w:rsidR="004C74D2">
        <w:rPr>
          <w:rFonts w:eastAsia="Times New Roman"/>
          <w:sz w:val="20"/>
          <w:szCs w:val="20"/>
          <w:lang w:val="uk-UA"/>
        </w:rPr>
        <w:t xml:space="preserve"> </w:t>
      </w:r>
      <w:r>
        <w:rPr>
          <w:rFonts w:eastAsia="Times New Roman"/>
          <w:sz w:val="20"/>
          <w:szCs w:val="20"/>
        </w:rPr>
        <w:t xml:space="preserve">не </w:t>
      </w:r>
      <w:proofErr w:type="spellStart"/>
      <w:r>
        <w:rPr>
          <w:rFonts w:eastAsia="Times New Roman"/>
          <w:sz w:val="20"/>
          <w:szCs w:val="20"/>
        </w:rPr>
        <w:t>охоплюють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усіх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загроз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фінансовій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безпеці</w:t>
      </w:r>
      <w:proofErr w:type="spellEnd"/>
      <w:r>
        <w:rPr>
          <w:rFonts w:eastAsia="Times New Roman"/>
          <w:sz w:val="20"/>
          <w:szCs w:val="20"/>
        </w:rPr>
        <w:t xml:space="preserve"> банку. Так, запропоновані в методиці коефіцієнти не враховують </w:t>
      </w:r>
    </w:p>
    <w:p w:rsidR="009612D4" w:rsidRPr="004C74D2" w:rsidRDefault="00F67BF6" w:rsidP="004C74D2">
      <w:pPr>
        <w:pStyle w:val="a4"/>
        <w:numPr>
          <w:ilvl w:val="0"/>
          <w:numId w:val="12"/>
        </w:numPr>
        <w:jc w:val="both"/>
        <w:rPr>
          <w:rFonts w:eastAsia="Times New Roman"/>
          <w:sz w:val="20"/>
          <w:szCs w:val="20"/>
          <w:lang w:val="uk-UA"/>
        </w:rPr>
      </w:pPr>
      <w:r w:rsidRPr="004C74D2">
        <w:rPr>
          <w:rFonts w:eastAsia="Times New Roman"/>
          <w:sz w:val="20"/>
          <w:szCs w:val="20"/>
          <w:lang w:val="uk-UA"/>
        </w:rPr>
        <w:t xml:space="preserve">коефіцієнтів кредитного ризику на національному рівні (що включає в себе прострочену заборгованість, </w:t>
      </w:r>
    </w:p>
    <w:p w:rsidR="009612D4" w:rsidRPr="004C74D2" w:rsidRDefault="00F67BF6" w:rsidP="004C74D2">
      <w:pPr>
        <w:pStyle w:val="a4"/>
        <w:numPr>
          <w:ilvl w:val="0"/>
          <w:numId w:val="12"/>
        </w:numPr>
        <w:jc w:val="both"/>
        <w:rPr>
          <w:rFonts w:eastAsia="Times New Roman"/>
          <w:sz w:val="20"/>
          <w:szCs w:val="20"/>
          <w:lang w:val="uk-UA"/>
        </w:rPr>
      </w:pPr>
      <w:r w:rsidRPr="004C74D2">
        <w:rPr>
          <w:rFonts w:eastAsia="Times New Roman"/>
          <w:sz w:val="20"/>
          <w:szCs w:val="20"/>
          <w:lang w:val="uk-UA"/>
        </w:rPr>
        <w:t xml:space="preserve">якість кредитного портфеля, </w:t>
      </w:r>
    </w:p>
    <w:p w:rsidR="009612D4" w:rsidRPr="004C74D2" w:rsidRDefault="00F67BF6" w:rsidP="004C74D2">
      <w:pPr>
        <w:pStyle w:val="a4"/>
        <w:numPr>
          <w:ilvl w:val="0"/>
          <w:numId w:val="12"/>
        </w:numPr>
        <w:jc w:val="both"/>
        <w:rPr>
          <w:rFonts w:eastAsia="Times New Roman"/>
          <w:sz w:val="20"/>
          <w:szCs w:val="20"/>
          <w:lang w:val="uk-UA"/>
        </w:rPr>
      </w:pPr>
      <w:r w:rsidRPr="004C74D2">
        <w:rPr>
          <w:rFonts w:eastAsia="Times New Roman"/>
          <w:sz w:val="20"/>
          <w:szCs w:val="20"/>
          <w:lang w:val="uk-UA"/>
        </w:rPr>
        <w:t xml:space="preserve">обсяг сформованих резервів за кредитними ризиками), </w:t>
      </w:r>
    </w:p>
    <w:p w:rsidR="009612D4" w:rsidRPr="004C74D2" w:rsidRDefault="00F67BF6" w:rsidP="004C74D2">
      <w:pPr>
        <w:pStyle w:val="a4"/>
        <w:numPr>
          <w:ilvl w:val="0"/>
          <w:numId w:val="12"/>
        </w:numPr>
        <w:jc w:val="both"/>
        <w:rPr>
          <w:rFonts w:eastAsia="Times New Roman"/>
          <w:sz w:val="20"/>
          <w:szCs w:val="20"/>
          <w:lang w:val="uk-UA"/>
        </w:rPr>
      </w:pPr>
      <w:r w:rsidRPr="004C74D2">
        <w:rPr>
          <w:rFonts w:eastAsia="Times New Roman"/>
          <w:sz w:val="20"/>
          <w:szCs w:val="20"/>
          <w:lang w:val="uk-UA"/>
        </w:rPr>
        <w:t xml:space="preserve">обсяг зовнішнього боргу банків (який відображає залежність банківської системи від зовнішнього ринку), </w:t>
      </w:r>
    </w:p>
    <w:p w:rsidR="009612D4" w:rsidRPr="004C74D2" w:rsidRDefault="00F67BF6" w:rsidP="004C74D2">
      <w:pPr>
        <w:pStyle w:val="a4"/>
        <w:numPr>
          <w:ilvl w:val="0"/>
          <w:numId w:val="12"/>
        </w:numPr>
        <w:jc w:val="both"/>
        <w:rPr>
          <w:rFonts w:eastAsia="Times New Roman"/>
          <w:sz w:val="20"/>
          <w:szCs w:val="20"/>
          <w:lang w:val="uk-UA"/>
        </w:rPr>
      </w:pPr>
      <w:r w:rsidRPr="004C74D2">
        <w:rPr>
          <w:rFonts w:eastAsia="Times New Roman"/>
          <w:sz w:val="20"/>
          <w:szCs w:val="20"/>
          <w:lang w:val="uk-UA"/>
        </w:rPr>
        <w:t xml:space="preserve">коефіцієнт готівкових коштів або частки готівки в грошовій масі (дозволяє визначити рівень грошової маси, яка обслуговує тіньові потоки капіталів), </w:t>
      </w:r>
    </w:p>
    <w:p w:rsidR="004C74D2" w:rsidRPr="004C74D2" w:rsidRDefault="00F67BF6" w:rsidP="004C74D2">
      <w:pPr>
        <w:pStyle w:val="a4"/>
        <w:numPr>
          <w:ilvl w:val="0"/>
          <w:numId w:val="12"/>
        </w:numPr>
        <w:jc w:val="both"/>
        <w:rPr>
          <w:rFonts w:eastAsia="Times New Roman"/>
          <w:sz w:val="20"/>
          <w:szCs w:val="20"/>
          <w:lang w:val="uk-UA"/>
        </w:rPr>
      </w:pPr>
      <w:r w:rsidRPr="004C74D2">
        <w:rPr>
          <w:rFonts w:eastAsia="Times New Roman"/>
          <w:sz w:val="20"/>
          <w:szCs w:val="20"/>
          <w:lang w:val="uk-UA"/>
        </w:rPr>
        <w:t xml:space="preserve">обсяг готівкової іноземної валюти в готівковому грошовому обігу (дозволяє визначити обсяг непідконтрольної банківській системі грошової маси та спрогнозувати обсяги попиту на банківські депозити), </w:t>
      </w:r>
    </w:p>
    <w:p w:rsidR="004C74D2" w:rsidRPr="004C74D2" w:rsidRDefault="00F67BF6" w:rsidP="004C74D2">
      <w:pPr>
        <w:pStyle w:val="a4"/>
        <w:numPr>
          <w:ilvl w:val="0"/>
          <w:numId w:val="12"/>
        </w:numPr>
        <w:jc w:val="both"/>
        <w:rPr>
          <w:rFonts w:eastAsia="Times New Roman"/>
          <w:sz w:val="20"/>
          <w:szCs w:val="20"/>
          <w:lang w:val="uk-UA"/>
        </w:rPr>
      </w:pPr>
      <w:r w:rsidRPr="004C74D2">
        <w:rPr>
          <w:rFonts w:eastAsia="Times New Roman"/>
          <w:sz w:val="20"/>
          <w:szCs w:val="20"/>
          <w:lang w:val="uk-UA"/>
        </w:rPr>
        <w:t>окрім цього не відображено динаміку ВВП, яка може бути одним з показників оцінки рівня ділової активності</w:t>
      </w:r>
      <w:r w:rsidR="004C74D2" w:rsidRPr="004C74D2">
        <w:rPr>
          <w:sz w:val="20"/>
          <w:szCs w:val="20"/>
          <w:lang w:val="uk-UA"/>
        </w:rPr>
        <w:t xml:space="preserve"> в </w:t>
      </w:r>
      <w:proofErr w:type="spellStart"/>
      <w:r w:rsidRPr="004C74D2">
        <w:rPr>
          <w:rFonts w:eastAsia="Times New Roman"/>
          <w:sz w:val="20"/>
          <w:szCs w:val="20"/>
        </w:rPr>
        <w:t>країні</w:t>
      </w:r>
      <w:proofErr w:type="spellEnd"/>
      <w:r w:rsidRPr="004C74D2">
        <w:rPr>
          <w:rFonts w:eastAsia="Times New Roman"/>
          <w:sz w:val="20"/>
          <w:szCs w:val="20"/>
        </w:rPr>
        <w:t xml:space="preserve">. </w:t>
      </w:r>
    </w:p>
    <w:p w:rsidR="009134EA" w:rsidRPr="004C74D2" w:rsidRDefault="00F67BF6" w:rsidP="004C74D2">
      <w:pPr>
        <w:ind w:left="10" w:firstLine="283"/>
        <w:jc w:val="both"/>
        <w:rPr>
          <w:sz w:val="20"/>
          <w:szCs w:val="20"/>
          <w:lang w:val="uk-UA"/>
        </w:rPr>
      </w:pPr>
      <w:r>
        <w:rPr>
          <w:rFonts w:eastAsia="Times New Roman"/>
          <w:sz w:val="20"/>
          <w:szCs w:val="20"/>
        </w:rPr>
        <w:t xml:space="preserve">Тому </w:t>
      </w:r>
      <w:proofErr w:type="spellStart"/>
      <w:r>
        <w:rPr>
          <w:rFonts w:eastAsia="Times New Roman"/>
          <w:sz w:val="20"/>
          <w:szCs w:val="20"/>
        </w:rPr>
        <w:t>загалом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аналізована</w:t>
      </w:r>
      <w:proofErr w:type="spellEnd"/>
      <w:r>
        <w:rPr>
          <w:rFonts w:eastAsia="Times New Roman"/>
          <w:sz w:val="20"/>
          <w:szCs w:val="20"/>
        </w:rPr>
        <w:t xml:space="preserve"> методика </w:t>
      </w:r>
      <w:proofErr w:type="spellStart"/>
      <w:r>
        <w:rPr>
          <w:rFonts w:eastAsia="Times New Roman"/>
          <w:sz w:val="20"/>
          <w:szCs w:val="20"/>
        </w:rPr>
        <w:t>дасть</w:t>
      </w:r>
      <w:proofErr w:type="spellEnd"/>
      <w:r>
        <w:rPr>
          <w:rFonts w:eastAsia="Times New Roman"/>
          <w:sz w:val="20"/>
          <w:szCs w:val="20"/>
        </w:rPr>
        <w:t xml:space="preserve"> змогу отримати адекватну оцінку фінансової безпеки окремого комерційного банку, однак не дозволить отримати повну оцінку фінансової безпеки банківської системи.</w:t>
      </w:r>
    </w:p>
    <w:p w:rsidR="004C74D2" w:rsidRDefault="00F67BF6">
      <w:pPr>
        <w:spacing w:line="238" w:lineRule="auto"/>
        <w:ind w:left="10" w:firstLine="283"/>
        <w:jc w:val="both"/>
        <w:rPr>
          <w:rFonts w:eastAsia="Times New Roman"/>
          <w:sz w:val="20"/>
          <w:szCs w:val="20"/>
          <w:lang w:val="uk-UA"/>
        </w:rPr>
      </w:pPr>
      <w:r w:rsidRPr="004C74D2">
        <w:rPr>
          <w:rFonts w:eastAsia="Times New Roman"/>
          <w:sz w:val="20"/>
          <w:szCs w:val="20"/>
          <w:lang w:val="uk-UA"/>
        </w:rPr>
        <w:t xml:space="preserve">Окрім цього, ґрунтовною моделлю оцінки економічної безпеки банків є модель запропонована В.І. Франчук, С. І. Мельник в частині побудови шкали оцінки рівня економічної безпеки банку шляхом застосування формули «золотого поділу», яка дозволила побудувати таку градацію економічної безпеки банку: недостатній, критичний, достатній, оптимальний. </w:t>
      </w:r>
    </w:p>
    <w:p w:rsidR="004C74D2" w:rsidRDefault="00F67BF6">
      <w:pPr>
        <w:spacing w:line="238" w:lineRule="auto"/>
        <w:ind w:left="10" w:firstLine="283"/>
        <w:jc w:val="both"/>
        <w:rPr>
          <w:rFonts w:eastAsia="Times New Roman"/>
          <w:sz w:val="20"/>
          <w:szCs w:val="20"/>
          <w:lang w:val="uk-UA"/>
        </w:rPr>
      </w:pPr>
      <w:r w:rsidRPr="004C74D2">
        <w:rPr>
          <w:rFonts w:eastAsia="Times New Roman"/>
          <w:sz w:val="20"/>
          <w:szCs w:val="20"/>
          <w:lang w:val="uk-UA"/>
        </w:rPr>
        <w:t xml:space="preserve">Однак, як і в попередній методиці, не зовсім зрозумілими є мотиви використання показників оцінки рівня безпеки банку, зокрема таких як: </w:t>
      </w:r>
    </w:p>
    <w:p w:rsidR="004C74D2" w:rsidRPr="004C74D2" w:rsidRDefault="00F67BF6" w:rsidP="004C74D2">
      <w:pPr>
        <w:pStyle w:val="a4"/>
        <w:numPr>
          <w:ilvl w:val="0"/>
          <w:numId w:val="13"/>
        </w:numPr>
        <w:spacing w:line="238" w:lineRule="auto"/>
        <w:jc w:val="both"/>
        <w:rPr>
          <w:rFonts w:eastAsia="Times New Roman"/>
          <w:sz w:val="20"/>
          <w:szCs w:val="20"/>
          <w:lang w:val="uk-UA"/>
        </w:rPr>
      </w:pPr>
      <w:r w:rsidRPr="004C74D2">
        <w:rPr>
          <w:rFonts w:eastAsia="Times New Roman"/>
          <w:sz w:val="20"/>
          <w:szCs w:val="20"/>
          <w:lang w:val="uk-UA"/>
        </w:rPr>
        <w:t>максимальна «безпеч</w:t>
      </w:r>
      <w:r w:rsidR="00E47E9E">
        <w:rPr>
          <w:rFonts w:eastAsia="Times New Roman"/>
          <w:sz w:val="20"/>
          <w:szCs w:val="20"/>
          <w:lang w:val="uk-UA"/>
        </w:rPr>
        <w:t>на» сума кредитування</w:t>
      </w:r>
      <w:r w:rsidRPr="004C74D2">
        <w:rPr>
          <w:rFonts w:eastAsia="Times New Roman"/>
          <w:sz w:val="20"/>
          <w:szCs w:val="20"/>
          <w:lang w:val="uk-UA"/>
        </w:rPr>
        <w:t xml:space="preserve">, </w:t>
      </w:r>
    </w:p>
    <w:p w:rsidR="004C74D2" w:rsidRPr="004C74D2" w:rsidRDefault="00F67BF6" w:rsidP="004C74D2">
      <w:pPr>
        <w:pStyle w:val="a4"/>
        <w:numPr>
          <w:ilvl w:val="0"/>
          <w:numId w:val="13"/>
        </w:numPr>
        <w:spacing w:line="238" w:lineRule="auto"/>
        <w:jc w:val="both"/>
        <w:rPr>
          <w:rFonts w:eastAsia="Times New Roman"/>
          <w:sz w:val="20"/>
          <w:szCs w:val="20"/>
          <w:lang w:val="uk-UA"/>
        </w:rPr>
      </w:pPr>
      <w:r w:rsidRPr="004C74D2">
        <w:rPr>
          <w:rFonts w:eastAsia="Times New Roman"/>
          <w:sz w:val="20"/>
          <w:szCs w:val="20"/>
          <w:lang w:val="uk-UA"/>
        </w:rPr>
        <w:t xml:space="preserve">ефективність і можливість використання внутрішньобанківських резервів, </w:t>
      </w:r>
    </w:p>
    <w:p w:rsidR="004C74D2" w:rsidRPr="004C74D2" w:rsidRDefault="00F67BF6" w:rsidP="004C74D2">
      <w:pPr>
        <w:pStyle w:val="a4"/>
        <w:numPr>
          <w:ilvl w:val="0"/>
          <w:numId w:val="13"/>
        </w:numPr>
        <w:spacing w:line="238" w:lineRule="auto"/>
        <w:jc w:val="both"/>
        <w:rPr>
          <w:rFonts w:eastAsia="Times New Roman"/>
          <w:sz w:val="20"/>
          <w:szCs w:val="20"/>
          <w:lang w:val="uk-UA"/>
        </w:rPr>
      </w:pPr>
      <w:r w:rsidRPr="004C74D2">
        <w:rPr>
          <w:rFonts w:eastAsia="Times New Roman"/>
          <w:sz w:val="20"/>
          <w:szCs w:val="20"/>
          <w:lang w:val="uk-UA"/>
        </w:rPr>
        <w:t xml:space="preserve">дохідність активів, </w:t>
      </w:r>
    </w:p>
    <w:p w:rsidR="004C74D2" w:rsidRPr="004C74D2" w:rsidRDefault="00F67BF6" w:rsidP="004C74D2">
      <w:pPr>
        <w:pStyle w:val="a4"/>
        <w:numPr>
          <w:ilvl w:val="0"/>
          <w:numId w:val="13"/>
        </w:numPr>
        <w:spacing w:line="238" w:lineRule="auto"/>
        <w:jc w:val="both"/>
        <w:rPr>
          <w:rFonts w:eastAsia="Times New Roman"/>
          <w:sz w:val="20"/>
          <w:szCs w:val="20"/>
          <w:lang w:val="uk-UA"/>
        </w:rPr>
      </w:pPr>
      <w:r w:rsidRPr="004C74D2">
        <w:rPr>
          <w:rFonts w:eastAsia="Times New Roman"/>
          <w:sz w:val="20"/>
          <w:szCs w:val="20"/>
          <w:lang w:val="uk-UA"/>
        </w:rPr>
        <w:t xml:space="preserve">частка дохідних активів, </w:t>
      </w:r>
    </w:p>
    <w:p w:rsidR="004C74D2" w:rsidRPr="004C74D2" w:rsidRDefault="00F67BF6" w:rsidP="004C74D2">
      <w:pPr>
        <w:pStyle w:val="a4"/>
        <w:numPr>
          <w:ilvl w:val="0"/>
          <w:numId w:val="13"/>
        </w:numPr>
        <w:spacing w:line="238" w:lineRule="auto"/>
        <w:jc w:val="both"/>
        <w:rPr>
          <w:rFonts w:eastAsia="Times New Roman"/>
          <w:sz w:val="20"/>
          <w:szCs w:val="20"/>
          <w:lang w:val="uk-UA"/>
        </w:rPr>
      </w:pPr>
      <w:r w:rsidRPr="004C74D2">
        <w:rPr>
          <w:rFonts w:eastAsia="Times New Roman"/>
          <w:sz w:val="20"/>
          <w:szCs w:val="20"/>
          <w:lang w:val="uk-UA"/>
        </w:rPr>
        <w:t>кількість дохідних акт</w:t>
      </w:r>
      <w:r w:rsidR="004C74D2" w:rsidRPr="004C74D2">
        <w:rPr>
          <w:rFonts w:eastAsia="Times New Roman"/>
          <w:sz w:val="20"/>
          <w:szCs w:val="20"/>
          <w:lang w:val="uk-UA"/>
        </w:rPr>
        <w:t>ивів на 1 грн. платних активів,</w:t>
      </w:r>
    </w:p>
    <w:p w:rsidR="004C74D2" w:rsidRPr="004C74D2" w:rsidRDefault="00F67BF6" w:rsidP="004C74D2">
      <w:pPr>
        <w:pStyle w:val="a4"/>
        <w:numPr>
          <w:ilvl w:val="0"/>
          <w:numId w:val="13"/>
        </w:numPr>
        <w:spacing w:line="238" w:lineRule="auto"/>
        <w:jc w:val="both"/>
        <w:rPr>
          <w:rFonts w:eastAsia="Times New Roman"/>
          <w:sz w:val="20"/>
          <w:szCs w:val="20"/>
          <w:lang w:val="uk-UA"/>
        </w:rPr>
      </w:pPr>
      <w:r w:rsidRPr="004C74D2">
        <w:rPr>
          <w:rFonts w:eastAsia="Times New Roman"/>
          <w:sz w:val="20"/>
          <w:szCs w:val="20"/>
          <w:lang w:val="uk-UA"/>
        </w:rPr>
        <w:t xml:space="preserve">величина дохідних активів на 1 грн. власного капіталу. </w:t>
      </w:r>
    </w:p>
    <w:p w:rsidR="009134EA" w:rsidRPr="004C74D2" w:rsidRDefault="00F67BF6">
      <w:pPr>
        <w:spacing w:line="238" w:lineRule="auto"/>
        <w:ind w:left="10" w:firstLine="283"/>
        <w:jc w:val="both"/>
        <w:rPr>
          <w:rFonts w:eastAsia="Times New Roman"/>
          <w:sz w:val="20"/>
          <w:szCs w:val="20"/>
          <w:lang w:val="uk-UA"/>
        </w:rPr>
      </w:pPr>
      <w:r w:rsidRPr="004C74D2">
        <w:rPr>
          <w:rFonts w:eastAsia="Times New Roman"/>
          <w:sz w:val="20"/>
          <w:szCs w:val="20"/>
          <w:lang w:val="uk-UA"/>
        </w:rPr>
        <w:t>Більшість показників активів характеризують рентабельність активів банку, а тому є тотожними та взаємодоповнюючими, що додає надмірної ваги активам у формулі розрахунку коефіцієнтів, а це, своєю чергою, робить результати моделі більш залежними від активів, ніж від інших компонентів банківської діяльності.</w:t>
      </w:r>
    </w:p>
    <w:p w:rsidR="009134EA" w:rsidRPr="004C74D2" w:rsidRDefault="009134EA">
      <w:pPr>
        <w:spacing w:line="3" w:lineRule="exact"/>
        <w:rPr>
          <w:rFonts w:eastAsia="Times New Roman"/>
          <w:sz w:val="20"/>
          <w:szCs w:val="20"/>
          <w:lang w:val="uk-UA"/>
        </w:rPr>
      </w:pPr>
    </w:p>
    <w:p w:rsidR="00BA1081" w:rsidRDefault="00F67BF6">
      <w:pPr>
        <w:ind w:left="10" w:firstLine="283"/>
        <w:jc w:val="both"/>
        <w:rPr>
          <w:rFonts w:eastAsia="Times New Roman"/>
          <w:sz w:val="20"/>
          <w:szCs w:val="20"/>
          <w:lang w:val="uk-UA"/>
        </w:rPr>
      </w:pPr>
      <w:r w:rsidRPr="004C74D2">
        <w:rPr>
          <w:rFonts w:eastAsia="Times New Roman"/>
          <w:sz w:val="20"/>
          <w:szCs w:val="20"/>
          <w:lang w:val="uk-UA"/>
        </w:rPr>
        <w:t>Не менш ґрунтовною моделлю оцінки фінансової безпеки банків є модель, що ґрунтується на бальній оцінці з інтегральн</w:t>
      </w:r>
      <w:r w:rsidR="004C74D2" w:rsidRPr="004C74D2">
        <w:rPr>
          <w:rFonts w:eastAsia="Times New Roman"/>
          <w:sz w:val="20"/>
          <w:szCs w:val="20"/>
          <w:lang w:val="uk-UA"/>
        </w:rPr>
        <w:t>им значенням у 130 балів, запро</w:t>
      </w:r>
      <w:r w:rsidRPr="004C74D2">
        <w:rPr>
          <w:rFonts w:eastAsia="Times New Roman"/>
          <w:sz w:val="20"/>
          <w:szCs w:val="20"/>
          <w:lang w:val="uk-UA"/>
        </w:rPr>
        <w:t xml:space="preserve">понована колективом авторів монографії «Фінансова безпека підприємств і банківських установ» за редакцією </w:t>
      </w:r>
      <w:r w:rsidR="004C74D2">
        <w:rPr>
          <w:rFonts w:eastAsia="Times New Roman"/>
          <w:sz w:val="20"/>
          <w:szCs w:val="20"/>
        </w:rPr>
        <w:t xml:space="preserve">А.О. Єпіфанова </w:t>
      </w:r>
      <w:r>
        <w:rPr>
          <w:rFonts w:eastAsia="Times New Roman"/>
          <w:sz w:val="20"/>
          <w:szCs w:val="20"/>
        </w:rPr>
        <w:t xml:space="preserve">. Основою такої моделі є визначення певного набору показників фінансової безпеки банків і сірих зон показників, які дозволяють охарактеризувати те значення показника, при якому складно однозначно оцінити показник. За результатами моделі автори побудували шкалу фінансової безпеки банків, яка включає в себе три рівні: критичний (менше 80 балів), недостатній (80-110 балів), достатній (110-130 балів). Математична модель дає змогу оцінити </w:t>
      </w:r>
      <w:proofErr w:type="gramStart"/>
      <w:r>
        <w:rPr>
          <w:rFonts w:eastAsia="Times New Roman"/>
          <w:sz w:val="20"/>
          <w:szCs w:val="20"/>
        </w:rPr>
        <w:t>р</w:t>
      </w:r>
      <w:proofErr w:type="gramEnd"/>
      <w:r>
        <w:rPr>
          <w:rFonts w:eastAsia="Times New Roman"/>
          <w:sz w:val="20"/>
          <w:szCs w:val="20"/>
        </w:rPr>
        <w:t xml:space="preserve">івень фінансової </w:t>
      </w:r>
      <w:proofErr w:type="spellStart"/>
      <w:r>
        <w:rPr>
          <w:rFonts w:eastAsia="Times New Roman"/>
          <w:sz w:val="20"/>
          <w:szCs w:val="20"/>
        </w:rPr>
        <w:t>безпеки</w:t>
      </w:r>
      <w:proofErr w:type="spellEnd"/>
      <w:r>
        <w:rPr>
          <w:rFonts w:eastAsia="Times New Roman"/>
          <w:sz w:val="20"/>
          <w:szCs w:val="20"/>
        </w:rPr>
        <w:t xml:space="preserve"> банку, </w:t>
      </w:r>
      <w:proofErr w:type="spellStart"/>
      <w:r>
        <w:rPr>
          <w:rFonts w:eastAsia="Times New Roman"/>
          <w:sz w:val="20"/>
          <w:szCs w:val="20"/>
        </w:rPr>
        <w:t>однак</w:t>
      </w:r>
      <w:proofErr w:type="spellEnd"/>
      <w:r>
        <w:rPr>
          <w:rFonts w:eastAsia="Times New Roman"/>
          <w:sz w:val="20"/>
          <w:szCs w:val="20"/>
        </w:rPr>
        <w:t>,</w:t>
      </w:r>
      <w:r w:rsidR="006F7413"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перелік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показників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використаних</w:t>
      </w:r>
      <w:proofErr w:type="spellEnd"/>
      <w:r>
        <w:rPr>
          <w:rFonts w:eastAsia="Times New Roman"/>
          <w:sz w:val="20"/>
          <w:szCs w:val="20"/>
        </w:rPr>
        <w:t xml:space="preserve"> у побудові цієї моделі недостатньо враховує валютні ризики, які можуть виникнути в умовах паніки на валютному ринку, оскільки загальна валютна позиція дозволяє оцінити валютний ризик банку, пов’язаний з поточними платежами і </w:t>
      </w:r>
      <w:r>
        <w:rPr>
          <w:rFonts w:eastAsia="Times New Roman"/>
          <w:sz w:val="20"/>
          <w:szCs w:val="20"/>
        </w:rPr>
        <w:lastRenderedPageBreak/>
        <w:t xml:space="preserve">конверсійними операціями, а також міжнародною діяльністю. </w:t>
      </w:r>
      <w:r w:rsidR="00BA1081">
        <w:rPr>
          <w:rFonts w:eastAsia="Times New Roman"/>
          <w:sz w:val="20"/>
          <w:szCs w:val="20"/>
          <w:lang w:val="uk-UA"/>
        </w:rPr>
        <w:t>У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цьом</w:t>
      </w:r>
      <w:r w:rsidR="00BA1081">
        <w:rPr>
          <w:rFonts w:eastAsia="Times New Roman"/>
          <w:sz w:val="20"/>
          <w:szCs w:val="20"/>
        </w:rPr>
        <w:t>у</w:t>
      </w:r>
      <w:proofErr w:type="spellEnd"/>
      <w:r w:rsidR="00BA1081">
        <w:rPr>
          <w:rFonts w:eastAsia="Times New Roman"/>
          <w:sz w:val="20"/>
          <w:szCs w:val="20"/>
        </w:rPr>
        <w:t xml:space="preserve"> </w:t>
      </w:r>
      <w:proofErr w:type="spellStart"/>
      <w:r w:rsidR="00BA1081">
        <w:rPr>
          <w:rFonts w:eastAsia="Times New Roman"/>
          <w:sz w:val="20"/>
          <w:szCs w:val="20"/>
        </w:rPr>
        <w:t>контексті</w:t>
      </w:r>
      <w:proofErr w:type="spellEnd"/>
      <w:r w:rsidR="00BA1081">
        <w:rPr>
          <w:rFonts w:eastAsia="Times New Roman"/>
          <w:sz w:val="20"/>
          <w:szCs w:val="20"/>
        </w:rPr>
        <w:t xml:space="preserve"> </w:t>
      </w:r>
      <w:proofErr w:type="spellStart"/>
      <w:r w:rsidR="00BA1081">
        <w:rPr>
          <w:rFonts w:eastAsia="Times New Roman"/>
          <w:sz w:val="20"/>
          <w:szCs w:val="20"/>
        </w:rPr>
        <w:t>більш</w:t>
      </w:r>
      <w:proofErr w:type="spellEnd"/>
      <w:r w:rsidR="00BA1081">
        <w:rPr>
          <w:rFonts w:eastAsia="Times New Roman"/>
          <w:sz w:val="20"/>
          <w:szCs w:val="20"/>
        </w:rPr>
        <w:t xml:space="preserve"> </w:t>
      </w:r>
      <w:proofErr w:type="spellStart"/>
      <w:r w:rsidR="00BA1081">
        <w:rPr>
          <w:rFonts w:eastAsia="Times New Roman"/>
          <w:sz w:val="20"/>
          <w:szCs w:val="20"/>
        </w:rPr>
        <w:t>інформативни</w:t>
      </w:r>
      <w:r>
        <w:rPr>
          <w:rFonts w:eastAsia="Times New Roman"/>
          <w:sz w:val="20"/>
          <w:szCs w:val="20"/>
        </w:rPr>
        <w:t>ми</w:t>
      </w:r>
      <w:proofErr w:type="spellEnd"/>
      <w:r>
        <w:rPr>
          <w:rFonts w:eastAsia="Times New Roman"/>
          <w:sz w:val="20"/>
          <w:szCs w:val="20"/>
        </w:rPr>
        <w:t xml:space="preserve"> і </w:t>
      </w:r>
      <w:proofErr w:type="spellStart"/>
      <w:r>
        <w:rPr>
          <w:rFonts w:eastAsia="Times New Roman"/>
          <w:sz w:val="20"/>
          <w:szCs w:val="20"/>
        </w:rPr>
        <w:t>впливовими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показниками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були</w:t>
      </w:r>
      <w:proofErr w:type="spellEnd"/>
      <w:r>
        <w:rPr>
          <w:rFonts w:eastAsia="Times New Roman"/>
          <w:sz w:val="20"/>
          <w:szCs w:val="20"/>
        </w:rPr>
        <w:t xml:space="preserve"> б </w:t>
      </w:r>
      <w:proofErr w:type="spellStart"/>
      <w:r>
        <w:rPr>
          <w:rFonts w:eastAsia="Times New Roman"/>
          <w:sz w:val="20"/>
          <w:szCs w:val="20"/>
        </w:rPr>
        <w:t>показники</w:t>
      </w:r>
      <w:proofErr w:type="spellEnd"/>
    </w:p>
    <w:p w:rsidR="009134EA" w:rsidRPr="00382BAB" w:rsidRDefault="00F67BF6" w:rsidP="00382BAB">
      <w:pPr>
        <w:pStyle w:val="a4"/>
        <w:numPr>
          <w:ilvl w:val="0"/>
          <w:numId w:val="14"/>
        </w:numPr>
        <w:jc w:val="both"/>
        <w:rPr>
          <w:rFonts w:eastAsia="Times New Roman"/>
          <w:sz w:val="20"/>
          <w:szCs w:val="20"/>
        </w:rPr>
      </w:pPr>
      <w:r w:rsidRPr="00BA1081">
        <w:rPr>
          <w:rFonts w:eastAsia="Times New Roman"/>
          <w:sz w:val="20"/>
          <w:szCs w:val="20"/>
          <w:lang w:val="uk-UA"/>
        </w:rPr>
        <w:t xml:space="preserve">доларизації кредитів і депозитів банку, оскільки в умовах кризи (а конкретно девальвації гривні) зростає ризик відтоку вкладів в іноземній валюті, що вимагає від банку більше втрат для купівлі іноземної валюти на міжбанківському валютному ринку. </w:t>
      </w:r>
      <w:proofErr w:type="spellStart"/>
      <w:r w:rsidRPr="00382BAB">
        <w:rPr>
          <w:rFonts w:eastAsia="Times New Roman"/>
          <w:sz w:val="20"/>
          <w:szCs w:val="20"/>
        </w:rPr>
        <w:t>Щобільше</w:t>
      </w:r>
      <w:proofErr w:type="spellEnd"/>
      <w:r w:rsidRPr="00382BAB">
        <w:rPr>
          <w:rFonts w:eastAsia="Times New Roman"/>
          <w:sz w:val="20"/>
          <w:szCs w:val="20"/>
        </w:rPr>
        <w:t xml:space="preserve">, в </w:t>
      </w:r>
      <w:proofErr w:type="spellStart"/>
      <w:r w:rsidRPr="00382BAB">
        <w:rPr>
          <w:rFonts w:eastAsia="Times New Roman"/>
          <w:sz w:val="20"/>
          <w:szCs w:val="20"/>
        </w:rPr>
        <w:t>умовах</w:t>
      </w:r>
      <w:proofErr w:type="spellEnd"/>
      <w:r w:rsidRPr="00382BAB">
        <w:rPr>
          <w:rFonts w:eastAsia="Times New Roman"/>
          <w:sz w:val="20"/>
          <w:szCs w:val="20"/>
        </w:rPr>
        <w:t xml:space="preserve"> </w:t>
      </w:r>
      <w:proofErr w:type="spellStart"/>
      <w:r w:rsidRPr="00382BAB">
        <w:rPr>
          <w:rFonts w:eastAsia="Times New Roman"/>
          <w:sz w:val="20"/>
          <w:szCs w:val="20"/>
        </w:rPr>
        <w:t>девальвації</w:t>
      </w:r>
      <w:proofErr w:type="spellEnd"/>
      <w:r w:rsidRPr="00382BAB">
        <w:rPr>
          <w:rFonts w:eastAsia="Times New Roman"/>
          <w:sz w:val="20"/>
          <w:szCs w:val="20"/>
        </w:rPr>
        <w:t xml:space="preserve"> банки змушені здійснювати переоцінку резерві</w:t>
      </w:r>
      <w:proofErr w:type="gramStart"/>
      <w:r w:rsidRPr="00382BAB">
        <w:rPr>
          <w:rFonts w:eastAsia="Times New Roman"/>
          <w:sz w:val="20"/>
          <w:szCs w:val="20"/>
        </w:rPr>
        <w:t>в</w:t>
      </w:r>
      <w:proofErr w:type="gramEnd"/>
      <w:r w:rsidRPr="00382BAB">
        <w:rPr>
          <w:rFonts w:eastAsia="Times New Roman"/>
          <w:sz w:val="20"/>
          <w:szCs w:val="20"/>
        </w:rPr>
        <w:t xml:space="preserve"> за кредитними</w:t>
      </w:r>
    </w:p>
    <w:p w:rsidR="009134EA" w:rsidRDefault="00F67BF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544E17D1" wp14:editId="52F49A05">
                <wp:simplePos x="0" y="0"/>
                <wp:positionH relativeFrom="column">
                  <wp:posOffset>635</wp:posOffset>
                </wp:positionH>
                <wp:positionV relativeFrom="paragraph">
                  <wp:posOffset>226060</wp:posOffset>
                </wp:positionV>
                <wp:extent cx="5040630" cy="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406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05pt,17.8pt" to="396.95pt,17.8pt" o:allowincell="f" strokecolor="#999999" strokeweight="2pt"/>
            </w:pict>
          </mc:Fallback>
        </mc:AlternateContent>
      </w:r>
    </w:p>
    <w:p w:rsidR="00241FCD" w:rsidRDefault="00F67BF6" w:rsidP="00241FCD">
      <w:pPr>
        <w:spacing w:line="221" w:lineRule="auto"/>
        <w:jc w:val="both"/>
        <w:rPr>
          <w:rFonts w:eastAsia="Times New Roman"/>
          <w:sz w:val="20"/>
          <w:szCs w:val="20"/>
          <w:lang w:val="uk-UA"/>
        </w:rPr>
      </w:pPr>
      <w:proofErr w:type="spellStart"/>
      <w:r>
        <w:rPr>
          <w:rFonts w:eastAsia="Times New Roman"/>
          <w:sz w:val="20"/>
          <w:szCs w:val="20"/>
        </w:rPr>
        <w:t>операціями</w:t>
      </w:r>
      <w:proofErr w:type="spellEnd"/>
      <w:r>
        <w:rPr>
          <w:rFonts w:eastAsia="Times New Roman"/>
          <w:sz w:val="20"/>
          <w:szCs w:val="20"/>
        </w:rPr>
        <w:t xml:space="preserve">, а </w:t>
      </w:r>
      <w:proofErr w:type="spellStart"/>
      <w:r>
        <w:rPr>
          <w:rFonts w:eastAsia="Times New Roman"/>
          <w:sz w:val="20"/>
          <w:szCs w:val="20"/>
        </w:rPr>
        <w:t>якщо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коефіцієнт</w:t>
      </w:r>
      <w:proofErr w:type="spellEnd"/>
      <w:r>
        <w:rPr>
          <w:rFonts w:eastAsia="Times New Roman"/>
          <w:sz w:val="20"/>
          <w:szCs w:val="20"/>
        </w:rPr>
        <w:t xml:space="preserve"> доларизації кредитного портфеля банку становить </w:t>
      </w:r>
      <w:proofErr w:type="spellStart"/>
      <w:r>
        <w:rPr>
          <w:rFonts w:eastAsia="Times New Roman"/>
          <w:sz w:val="20"/>
          <w:szCs w:val="20"/>
        </w:rPr>
        <w:t>близько</w:t>
      </w:r>
      <w:proofErr w:type="spellEnd"/>
      <w:r>
        <w:rPr>
          <w:rFonts w:eastAsia="Times New Roman"/>
          <w:sz w:val="20"/>
          <w:szCs w:val="20"/>
        </w:rPr>
        <w:t xml:space="preserve"> </w:t>
      </w:r>
    </w:p>
    <w:p w:rsidR="00241FCD" w:rsidRDefault="00241FCD" w:rsidP="00241FCD">
      <w:pPr>
        <w:spacing w:line="221" w:lineRule="auto"/>
        <w:jc w:val="both"/>
        <w:rPr>
          <w:rFonts w:eastAsia="Times New Roman"/>
          <w:sz w:val="20"/>
          <w:szCs w:val="20"/>
          <w:lang w:val="uk-UA"/>
        </w:rPr>
      </w:pPr>
    </w:p>
    <w:p w:rsidR="00382BAB" w:rsidRDefault="00F67BF6" w:rsidP="00BA1081">
      <w:pPr>
        <w:spacing w:line="221" w:lineRule="auto"/>
        <w:jc w:val="both"/>
        <w:rPr>
          <w:rFonts w:eastAsia="Times New Roman"/>
          <w:sz w:val="20"/>
          <w:szCs w:val="20"/>
          <w:lang w:val="uk-UA"/>
        </w:rPr>
      </w:pPr>
      <w:r>
        <w:rPr>
          <w:rFonts w:eastAsia="Times New Roman"/>
          <w:sz w:val="20"/>
          <w:szCs w:val="20"/>
        </w:rPr>
        <w:t xml:space="preserve">50%, то </w:t>
      </w:r>
      <w:proofErr w:type="spellStart"/>
      <w:r>
        <w:rPr>
          <w:rFonts w:eastAsia="Times New Roman"/>
          <w:sz w:val="20"/>
          <w:szCs w:val="20"/>
        </w:rPr>
        <w:t>резерви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суттєво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зростуть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що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призведе</w:t>
      </w:r>
      <w:proofErr w:type="spellEnd"/>
      <w:r>
        <w:rPr>
          <w:rFonts w:eastAsia="Times New Roman"/>
          <w:sz w:val="20"/>
          <w:szCs w:val="20"/>
        </w:rPr>
        <w:t xml:space="preserve"> до </w:t>
      </w:r>
      <w:proofErr w:type="spellStart"/>
      <w:r>
        <w:rPr>
          <w:rFonts w:eastAsia="Times New Roman"/>
          <w:sz w:val="20"/>
          <w:szCs w:val="20"/>
        </w:rPr>
        <w:t>втрати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прибутковості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рентабельності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зниження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ефективності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діяльності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тощо.</w:t>
      </w:r>
      <w:proofErr w:type="spellEnd"/>
      <w:r w:rsidR="006F7413">
        <w:rPr>
          <w:rFonts w:eastAsia="Times New Roman"/>
          <w:sz w:val="20"/>
          <w:szCs w:val="20"/>
          <w:lang w:val="uk-UA"/>
        </w:rPr>
        <w:t xml:space="preserve"> </w:t>
      </w:r>
    </w:p>
    <w:p w:rsidR="009134EA" w:rsidRPr="006F7413" w:rsidRDefault="00382BAB" w:rsidP="00BA1081">
      <w:pPr>
        <w:spacing w:line="221" w:lineRule="auto"/>
        <w:jc w:val="both"/>
        <w:rPr>
          <w:rFonts w:eastAsia="Times New Roman"/>
          <w:sz w:val="20"/>
          <w:szCs w:val="20"/>
          <w:lang w:val="uk-UA"/>
        </w:rPr>
      </w:pPr>
      <w:r>
        <w:rPr>
          <w:rFonts w:eastAsia="Times New Roman"/>
          <w:sz w:val="20"/>
          <w:szCs w:val="20"/>
          <w:lang w:val="uk-UA"/>
        </w:rPr>
        <w:t xml:space="preserve">      </w:t>
      </w:r>
      <w:proofErr w:type="spellStart"/>
      <w:r w:rsidR="00F67BF6">
        <w:rPr>
          <w:rFonts w:eastAsia="Times New Roman"/>
          <w:sz w:val="20"/>
          <w:szCs w:val="20"/>
        </w:rPr>
        <w:t>Аналогічними</w:t>
      </w:r>
      <w:proofErr w:type="spellEnd"/>
      <w:r w:rsidR="00F67BF6">
        <w:rPr>
          <w:rFonts w:eastAsia="Times New Roman"/>
          <w:sz w:val="20"/>
          <w:szCs w:val="20"/>
        </w:rPr>
        <w:t xml:space="preserve"> за </w:t>
      </w:r>
      <w:proofErr w:type="spellStart"/>
      <w:r w:rsidR="00F67BF6">
        <w:rPr>
          <w:rFonts w:eastAsia="Times New Roman"/>
          <w:sz w:val="20"/>
          <w:szCs w:val="20"/>
        </w:rPr>
        <w:t>змістом</w:t>
      </w:r>
      <w:proofErr w:type="spellEnd"/>
      <w:r w:rsidR="00F67BF6">
        <w:rPr>
          <w:rFonts w:eastAsia="Times New Roman"/>
          <w:sz w:val="20"/>
          <w:szCs w:val="20"/>
        </w:rPr>
        <w:t xml:space="preserve"> є моделі З. </w:t>
      </w:r>
      <w:r w:rsidR="00BA1081">
        <w:rPr>
          <w:rFonts w:eastAsia="Times New Roman"/>
          <w:sz w:val="20"/>
          <w:szCs w:val="20"/>
        </w:rPr>
        <w:t xml:space="preserve">Васильченко, І. Васильченко та Н. </w:t>
      </w:r>
      <w:proofErr w:type="gramStart"/>
      <w:r w:rsidR="00BA1081">
        <w:rPr>
          <w:rFonts w:eastAsia="Times New Roman"/>
          <w:sz w:val="20"/>
          <w:szCs w:val="20"/>
        </w:rPr>
        <w:t>Р</w:t>
      </w:r>
      <w:proofErr w:type="gramEnd"/>
      <w:r w:rsidR="00BA1081">
        <w:rPr>
          <w:rFonts w:eastAsia="Times New Roman"/>
          <w:sz w:val="20"/>
          <w:szCs w:val="20"/>
        </w:rPr>
        <w:t xml:space="preserve">ізник </w:t>
      </w:r>
      <w:r w:rsidR="00F67BF6">
        <w:rPr>
          <w:rFonts w:eastAsia="Times New Roman"/>
          <w:sz w:val="20"/>
          <w:szCs w:val="20"/>
        </w:rPr>
        <w:t>.</w:t>
      </w:r>
    </w:p>
    <w:p w:rsidR="009134EA" w:rsidRDefault="009134EA">
      <w:pPr>
        <w:spacing w:line="1" w:lineRule="exact"/>
        <w:rPr>
          <w:sz w:val="20"/>
          <w:szCs w:val="20"/>
        </w:rPr>
      </w:pPr>
    </w:p>
    <w:p w:rsidR="006F7413" w:rsidRDefault="00BA1081">
      <w:pPr>
        <w:ind w:left="10" w:firstLine="28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Методики Е.А. </w:t>
      </w:r>
      <w:proofErr w:type="spellStart"/>
      <w:r>
        <w:rPr>
          <w:rFonts w:eastAsia="Times New Roman"/>
          <w:sz w:val="20"/>
          <w:szCs w:val="20"/>
        </w:rPr>
        <w:t>Андрєєвої</w:t>
      </w:r>
      <w:proofErr w:type="spellEnd"/>
      <w:proofErr w:type="gramStart"/>
      <w:r>
        <w:rPr>
          <w:rFonts w:eastAsia="Times New Roman"/>
          <w:sz w:val="20"/>
          <w:szCs w:val="20"/>
        </w:rPr>
        <w:t xml:space="preserve"> </w:t>
      </w:r>
      <w:r w:rsidR="00F67BF6" w:rsidRPr="00BA1081">
        <w:rPr>
          <w:rFonts w:eastAsia="Times New Roman"/>
          <w:sz w:val="20"/>
          <w:szCs w:val="20"/>
        </w:rPr>
        <w:t>,</w:t>
      </w:r>
      <w:proofErr w:type="gramEnd"/>
      <w:r w:rsidR="00F67BF6" w:rsidRPr="00BA1081">
        <w:rPr>
          <w:rFonts w:eastAsia="Times New Roman"/>
          <w:sz w:val="20"/>
          <w:szCs w:val="20"/>
        </w:rPr>
        <w:t xml:space="preserve"> Г.Ю. Хач</w:t>
      </w:r>
      <w:r>
        <w:rPr>
          <w:rFonts w:eastAsia="Times New Roman"/>
          <w:sz w:val="20"/>
          <w:szCs w:val="20"/>
        </w:rPr>
        <w:t xml:space="preserve">атуряна , В.І. Гайдука , О.І. </w:t>
      </w:r>
      <w:proofErr w:type="spellStart"/>
      <w:r>
        <w:rPr>
          <w:rFonts w:eastAsia="Times New Roman"/>
          <w:sz w:val="20"/>
          <w:szCs w:val="20"/>
        </w:rPr>
        <w:t>Барановського</w:t>
      </w:r>
      <w:proofErr w:type="spellEnd"/>
      <w:r w:rsidR="00F67BF6">
        <w:rPr>
          <w:rFonts w:eastAsia="Times New Roman"/>
          <w:sz w:val="20"/>
          <w:szCs w:val="20"/>
        </w:rPr>
        <w:t xml:space="preserve"> </w:t>
      </w:r>
      <w:proofErr w:type="spellStart"/>
      <w:r w:rsidR="00F67BF6">
        <w:rPr>
          <w:rFonts w:eastAsia="Times New Roman"/>
          <w:sz w:val="20"/>
          <w:szCs w:val="20"/>
        </w:rPr>
        <w:t>ґрунтуються</w:t>
      </w:r>
      <w:proofErr w:type="spellEnd"/>
      <w:r w:rsidR="00F67BF6">
        <w:rPr>
          <w:rFonts w:eastAsia="Times New Roman"/>
          <w:sz w:val="20"/>
          <w:szCs w:val="20"/>
        </w:rPr>
        <w:t xml:space="preserve"> на </w:t>
      </w:r>
      <w:proofErr w:type="spellStart"/>
      <w:r w:rsidR="00F67BF6">
        <w:rPr>
          <w:rFonts w:eastAsia="Times New Roman"/>
          <w:sz w:val="20"/>
          <w:szCs w:val="20"/>
        </w:rPr>
        <w:t>виокремленні</w:t>
      </w:r>
      <w:proofErr w:type="spellEnd"/>
      <w:r w:rsidR="00F67BF6">
        <w:rPr>
          <w:rFonts w:eastAsia="Times New Roman"/>
          <w:sz w:val="20"/>
          <w:szCs w:val="20"/>
        </w:rPr>
        <w:t xml:space="preserve"> та обґрунтуванні певної кількості індикаторів / коефіцієнтів / показників, які відображають стан безпеки банківської діяльності без побудови економіко-математичних моделей. </w:t>
      </w:r>
    </w:p>
    <w:p w:rsidR="009134EA" w:rsidRDefault="00F67BF6">
      <w:pPr>
        <w:ind w:left="10" w:firstLine="283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Методика П.В. Калаура ґрунтується на групуванні показників фінансової безпеки за ступенями ризиків (достатність капіталу, кредитний </w:t>
      </w:r>
      <w:proofErr w:type="spellStart"/>
      <w:r>
        <w:rPr>
          <w:rFonts w:eastAsia="Times New Roman"/>
          <w:sz w:val="20"/>
          <w:szCs w:val="20"/>
        </w:rPr>
        <w:t>ризик</w:t>
      </w:r>
      <w:proofErr w:type="spellEnd"/>
      <w:r>
        <w:rPr>
          <w:rFonts w:eastAsia="Times New Roman"/>
          <w:sz w:val="20"/>
          <w:szCs w:val="20"/>
        </w:rPr>
        <w:t xml:space="preserve">, доходи / </w:t>
      </w:r>
      <w:proofErr w:type="spellStart"/>
      <w:r>
        <w:rPr>
          <w:rFonts w:eastAsia="Times New Roman"/>
          <w:sz w:val="20"/>
          <w:szCs w:val="20"/>
        </w:rPr>
        <w:t>прибутковість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ліквідні</w:t>
      </w:r>
      <w:r w:rsidR="006F7413">
        <w:rPr>
          <w:rFonts w:eastAsia="Times New Roman"/>
          <w:sz w:val="20"/>
          <w:szCs w:val="20"/>
        </w:rPr>
        <w:t>сть</w:t>
      </w:r>
      <w:proofErr w:type="spellEnd"/>
      <w:r w:rsidR="006F7413">
        <w:rPr>
          <w:rFonts w:eastAsia="Times New Roman"/>
          <w:sz w:val="20"/>
          <w:szCs w:val="20"/>
        </w:rPr>
        <w:t xml:space="preserve">, </w:t>
      </w:r>
      <w:proofErr w:type="spellStart"/>
      <w:r w:rsidR="006F7413">
        <w:rPr>
          <w:rFonts w:eastAsia="Times New Roman"/>
          <w:sz w:val="20"/>
          <w:szCs w:val="20"/>
        </w:rPr>
        <w:t>валютний</w:t>
      </w:r>
      <w:proofErr w:type="spellEnd"/>
      <w:r w:rsidR="00D84436">
        <w:rPr>
          <w:rFonts w:eastAsia="Times New Roman"/>
          <w:sz w:val="20"/>
          <w:szCs w:val="20"/>
        </w:rPr>
        <w:t xml:space="preserve"> </w:t>
      </w:r>
      <w:proofErr w:type="spellStart"/>
      <w:r w:rsidR="00D84436">
        <w:rPr>
          <w:rFonts w:eastAsia="Times New Roman"/>
          <w:sz w:val="20"/>
          <w:szCs w:val="20"/>
        </w:rPr>
        <w:t>ризик</w:t>
      </w:r>
      <w:proofErr w:type="spellEnd"/>
      <w:r w:rsidR="006F7413"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 xml:space="preserve">, а </w:t>
      </w:r>
      <w:proofErr w:type="spellStart"/>
      <w:r>
        <w:rPr>
          <w:rFonts w:eastAsia="Times New Roman"/>
          <w:sz w:val="20"/>
          <w:szCs w:val="20"/>
        </w:rPr>
        <w:t>самі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показники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 w:rsidR="00D84436">
        <w:rPr>
          <w:rFonts w:eastAsia="Times New Roman"/>
          <w:sz w:val="20"/>
          <w:szCs w:val="20"/>
        </w:rPr>
        <w:t>ґрунтуються</w:t>
      </w:r>
      <w:proofErr w:type="spellEnd"/>
      <w:r w:rsidR="00D84436">
        <w:rPr>
          <w:rFonts w:eastAsia="Times New Roman"/>
          <w:sz w:val="20"/>
          <w:szCs w:val="20"/>
        </w:rPr>
        <w:t xml:space="preserve"> на </w:t>
      </w:r>
      <w:proofErr w:type="spellStart"/>
      <w:r w:rsidR="00D84436">
        <w:rPr>
          <w:rFonts w:eastAsia="Times New Roman"/>
          <w:sz w:val="20"/>
          <w:szCs w:val="20"/>
        </w:rPr>
        <w:t>економічних</w:t>
      </w:r>
      <w:proofErr w:type="spellEnd"/>
      <w:r w:rsidR="00D84436">
        <w:rPr>
          <w:rFonts w:eastAsia="Times New Roman"/>
          <w:sz w:val="20"/>
          <w:szCs w:val="20"/>
        </w:rPr>
        <w:t xml:space="preserve"> нор</w:t>
      </w:r>
      <w:r>
        <w:rPr>
          <w:rFonts w:eastAsia="Times New Roman"/>
          <w:sz w:val="20"/>
          <w:szCs w:val="20"/>
        </w:rPr>
        <w:t xml:space="preserve">мативах </w:t>
      </w:r>
      <w:proofErr w:type="spellStart"/>
      <w:r>
        <w:rPr>
          <w:rFonts w:eastAsia="Times New Roman"/>
          <w:sz w:val="20"/>
          <w:szCs w:val="20"/>
        </w:rPr>
        <w:t>діяльності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банкі</w:t>
      </w:r>
      <w:proofErr w:type="gramStart"/>
      <w:r>
        <w:rPr>
          <w:rFonts w:eastAsia="Times New Roman"/>
          <w:sz w:val="20"/>
          <w:szCs w:val="20"/>
        </w:rPr>
        <w:t>в</w:t>
      </w:r>
      <w:proofErr w:type="spellEnd"/>
      <w:proofErr w:type="gramEnd"/>
      <w:r>
        <w:rPr>
          <w:rFonts w:eastAsia="Times New Roman"/>
          <w:sz w:val="20"/>
          <w:szCs w:val="20"/>
        </w:rPr>
        <w:t>.</w:t>
      </w:r>
    </w:p>
    <w:p w:rsidR="009134EA" w:rsidRDefault="009134EA">
      <w:pPr>
        <w:spacing w:line="85" w:lineRule="exact"/>
        <w:rPr>
          <w:sz w:val="20"/>
          <w:szCs w:val="20"/>
        </w:rPr>
      </w:pPr>
    </w:p>
    <w:p w:rsidR="00D84436" w:rsidRDefault="00F67BF6">
      <w:pPr>
        <w:spacing w:line="221" w:lineRule="auto"/>
        <w:ind w:left="10" w:firstLine="283"/>
        <w:jc w:val="both"/>
        <w:rPr>
          <w:rFonts w:eastAsia="Times New Roman"/>
          <w:sz w:val="20"/>
          <w:szCs w:val="20"/>
          <w:lang w:val="uk-UA"/>
        </w:rPr>
      </w:pPr>
      <w:proofErr w:type="spellStart"/>
      <w:r>
        <w:rPr>
          <w:rFonts w:eastAsia="Times New Roman"/>
          <w:sz w:val="20"/>
          <w:szCs w:val="20"/>
        </w:rPr>
        <w:t>Достатньо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новітньою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моделлю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оцінки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економічної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безпеки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банків</w:t>
      </w:r>
      <w:proofErr w:type="spellEnd"/>
      <w:r>
        <w:rPr>
          <w:rFonts w:eastAsia="Times New Roman"/>
          <w:sz w:val="20"/>
          <w:szCs w:val="20"/>
        </w:rPr>
        <w:t xml:space="preserve"> є модель </w:t>
      </w:r>
      <w:proofErr w:type="spellStart"/>
      <w:r>
        <w:rPr>
          <w:rFonts w:eastAsia="Times New Roman"/>
          <w:sz w:val="20"/>
          <w:szCs w:val="20"/>
        </w:rPr>
        <w:t>запропонована</w:t>
      </w:r>
      <w:proofErr w:type="spellEnd"/>
      <w:r>
        <w:rPr>
          <w:rFonts w:eastAsia="Times New Roman"/>
          <w:sz w:val="20"/>
          <w:szCs w:val="20"/>
        </w:rPr>
        <w:t xml:space="preserve"> О.М. </w:t>
      </w:r>
      <w:proofErr w:type="spellStart"/>
      <w:r>
        <w:rPr>
          <w:rFonts w:eastAsia="Times New Roman"/>
          <w:sz w:val="20"/>
          <w:szCs w:val="20"/>
        </w:rPr>
        <w:t>Коло</w:t>
      </w:r>
      <w:r w:rsidR="00D84436">
        <w:rPr>
          <w:rFonts w:eastAsia="Times New Roman"/>
          <w:sz w:val="20"/>
          <w:szCs w:val="20"/>
        </w:rPr>
        <w:t>дізєвим</w:t>
      </w:r>
      <w:proofErr w:type="spellEnd"/>
      <w:r w:rsidR="00D84436">
        <w:rPr>
          <w:rFonts w:eastAsia="Times New Roman"/>
          <w:sz w:val="20"/>
          <w:szCs w:val="20"/>
        </w:rPr>
        <w:t xml:space="preserve"> та О.М. </w:t>
      </w:r>
      <w:proofErr w:type="spellStart"/>
      <w:r w:rsidR="00D84436">
        <w:rPr>
          <w:rFonts w:eastAsia="Times New Roman"/>
          <w:sz w:val="20"/>
          <w:szCs w:val="20"/>
        </w:rPr>
        <w:t>Штає</w:t>
      </w:r>
      <w:proofErr w:type="gramStart"/>
      <w:r w:rsidR="00D84436">
        <w:rPr>
          <w:rFonts w:eastAsia="Times New Roman"/>
          <w:sz w:val="20"/>
          <w:szCs w:val="20"/>
        </w:rPr>
        <w:t>р</w:t>
      </w:r>
      <w:proofErr w:type="spellEnd"/>
      <w:proofErr w:type="gramEnd"/>
      <w:r>
        <w:rPr>
          <w:rFonts w:eastAsia="Times New Roman"/>
          <w:sz w:val="20"/>
          <w:szCs w:val="20"/>
        </w:rPr>
        <w:t xml:space="preserve">, яка </w:t>
      </w:r>
      <w:proofErr w:type="spellStart"/>
      <w:r>
        <w:rPr>
          <w:rFonts w:eastAsia="Times New Roman"/>
          <w:sz w:val="20"/>
          <w:szCs w:val="20"/>
        </w:rPr>
        <w:t>ґрунтується</w:t>
      </w:r>
      <w:proofErr w:type="spellEnd"/>
      <w:r>
        <w:rPr>
          <w:rFonts w:eastAsia="Times New Roman"/>
          <w:sz w:val="20"/>
          <w:szCs w:val="20"/>
        </w:rPr>
        <w:t xml:space="preserve"> на основі розрахунку таксономічних показників </w:t>
      </w:r>
    </w:p>
    <w:p w:rsidR="00D84436" w:rsidRPr="00D84436" w:rsidRDefault="00F67BF6" w:rsidP="00D84436">
      <w:pPr>
        <w:pStyle w:val="a4"/>
        <w:numPr>
          <w:ilvl w:val="0"/>
          <w:numId w:val="15"/>
        </w:numPr>
        <w:spacing w:line="221" w:lineRule="auto"/>
        <w:jc w:val="both"/>
        <w:rPr>
          <w:rFonts w:eastAsia="Times New Roman"/>
          <w:sz w:val="20"/>
          <w:szCs w:val="20"/>
          <w:lang w:val="uk-UA"/>
        </w:rPr>
      </w:pPr>
      <w:r w:rsidRPr="00D84436">
        <w:rPr>
          <w:rFonts w:eastAsia="Times New Roman"/>
          <w:sz w:val="20"/>
          <w:szCs w:val="20"/>
          <w:lang w:val="uk-UA"/>
        </w:rPr>
        <w:t xml:space="preserve">ліквідності, </w:t>
      </w:r>
    </w:p>
    <w:p w:rsidR="00D84436" w:rsidRPr="00D84436" w:rsidRDefault="00F67BF6" w:rsidP="00D84436">
      <w:pPr>
        <w:pStyle w:val="a4"/>
        <w:numPr>
          <w:ilvl w:val="0"/>
          <w:numId w:val="15"/>
        </w:numPr>
        <w:spacing w:line="221" w:lineRule="auto"/>
        <w:jc w:val="both"/>
        <w:rPr>
          <w:rFonts w:eastAsia="Times New Roman"/>
          <w:sz w:val="20"/>
          <w:szCs w:val="20"/>
          <w:lang w:val="uk-UA"/>
        </w:rPr>
      </w:pPr>
      <w:r w:rsidRPr="00D84436">
        <w:rPr>
          <w:rFonts w:eastAsia="Times New Roman"/>
          <w:sz w:val="20"/>
          <w:szCs w:val="20"/>
          <w:lang w:val="uk-UA"/>
        </w:rPr>
        <w:t xml:space="preserve">ділової активності, </w:t>
      </w:r>
    </w:p>
    <w:p w:rsidR="00D84436" w:rsidRPr="00D84436" w:rsidRDefault="00F67BF6" w:rsidP="00D84436">
      <w:pPr>
        <w:pStyle w:val="a4"/>
        <w:numPr>
          <w:ilvl w:val="0"/>
          <w:numId w:val="15"/>
        </w:numPr>
        <w:spacing w:line="221" w:lineRule="auto"/>
        <w:jc w:val="both"/>
        <w:rPr>
          <w:rFonts w:eastAsia="Times New Roman"/>
          <w:sz w:val="20"/>
          <w:szCs w:val="20"/>
          <w:lang w:val="uk-UA"/>
        </w:rPr>
      </w:pPr>
      <w:r w:rsidRPr="00D84436">
        <w:rPr>
          <w:rFonts w:eastAsia="Times New Roman"/>
          <w:sz w:val="20"/>
          <w:szCs w:val="20"/>
          <w:lang w:val="uk-UA"/>
        </w:rPr>
        <w:t xml:space="preserve">ефективності управління та </w:t>
      </w:r>
    </w:p>
    <w:p w:rsidR="00D84436" w:rsidRPr="00D84436" w:rsidRDefault="00F67BF6" w:rsidP="00D84436">
      <w:pPr>
        <w:pStyle w:val="a4"/>
        <w:numPr>
          <w:ilvl w:val="0"/>
          <w:numId w:val="15"/>
        </w:numPr>
        <w:spacing w:line="221" w:lineRule="auto"/>
        <w:jc w:val="both"/>
        <w:rPr>
          <w:rFonts w:eastAsia="Times New Roman"/>
          <w:sz w:val="20"/>
          <w:szCs w:val="20"/>
          <w:lang w:val="uk-UA"/>
        </w:rPr>
      </w:pPr>
      <w:r w:rsidRPr="00D84436">
        <w:rPr>
          <w:rFonts w:eastAsia="Times New Roman"/>
          <w:sz w:val="20"/>
          <w:szCs w:val="20"/>
          <w:lang w:val="uk-UA"/>
        </w:rPr>
        <w:t xml:space="preserve">достатності капіталу банків України, </w:t>
      </w:r>
    </w:p>
    <w:p w:rsidR="00D84436" w:rsidRPr="00D84436" w:rsidRDefault="00F67BF6" w:rsidP="00D84436">
      <w:pPr>
        <w:pStyle w:val="a4"/>
        <w:numPr>
          <w:ilvl w:val="0"/>
          <w:numId w:val="15"/>
        </w:numPr>
        <w:spacing w:line="221" w:lineRule="auto"/>
        <w:jc w:val="both"/>
        <w:rPr>
          <w:rFonts w:eastAsia="Times New Roman"/>
          <w:sz w:val="20"/>
          <w:szCs w:val="20"/>
          <w:lang w:val="uk-UA"/>
        </w:rPr>
      </w:pPr>
      <w:proofErr w:type="spellStart"/>
      <w:r w:rsidRPr="00D84436">
        <w:rPr>
          <w:rFonts w:eastAsia="Times New Roman"/>
          <w:sz w:val="20"/>
          <w:szCs w:val="20"/>
          <w:lang w:val="uk-UA"/>
        </w:rPr>
        <w:t>кластерному</w:t>
      </w:r>
      <w:proofErr w:type="spellEnd"/>
      <w:r w:rsidRPr="00D84436">
        <w:rPr>
          <w:rFonts w:eastAsia="Times New Roman"/>
          <w:sz w:val="20"/>
          <w:szCs w:val="20"/>
          <w:lang w:val="uk-UA"/>
        </w:rPr>
        <w:t xml:space="preserve"> аналізі, який дозволив авторам </w:t>
      </w:r>
      <w:proofErr w:type="spellStart"/>
      <w:r w:rsidRPr="00D84436">
        <w:rPr>
          <w:rFonts w:eastAsia="Times New Roman"/>
          <w:sz w:val="20"/>
          <w:szCs w:val="20"/>
          <w:lang w:val="uk-UA"/>
        </w:rPr>
        <w:t>ранжувати</w:t>
      </w:r>
      <w:proofErr w:type="spellEnd"/>
      <w:r w:rsidRPr="00D84436">
        <w:rPr>
          <w:rFonts w:eastAsia="Times New Roman"/>
          <w:sz w:val="20"/>
          <w:szCs w:val="20"/>
          <w:lang w:val="uk-UA"/>
        </w:rPr>
        <w:t xml:space="preserve"> банківські установи за ступенем економічної безпеки. </w:t>
      </w:r>
    </w:p>
    <w:p w:rsidR="009134EA" w:rsidRPr="00D84436" w:rsidRDefault="00F67BF6" w:rsidP="00D84436">
      <w:pPr>
        <w:spacing w:line="221" w:lineRule="auto"/>
        <w:ind w:left="10"/>
        <w:jc w:val="both"/>
        <w:rPr>
          <w:sz w:val="20"/>
          <w:szCs w:val="20"/>
          <w:lang w:val="uk-UA"/>
        </w:rPr>
      </w:pPr>
      <w:r w:rsidRPr="00D84436">
        <w:rPr>
          <w:rFonts w:eastAsia="Times New Roman"/>
          <w:sz w:val="20"/>
          <w:szCs w:val="20"/>
          <w:lang w:val="uk-UA"/>
        </w:rPr>
        <w:t>Недоліком аналізовано</w:t>
      </w:r>
      <w:r w:rsidR="00D84436">
        <w:rPr>
          <w:rFonts w:eastAsia="Times New Roman"/>
          <w:sz w:val="20"/>
          <w:szCs w:val="20"/>
          <w:lang w:val="uk-UA"/>
        </w:rPr>
        <w:t>ї моделі є мала кількість показ</w:t>
      </w:r>
      <w:r w:rsidRPr="00D84436">
        <w:rPr>
          <w:rFonts w:eastAsia="Times New Roman"/>
          <w:sz w:val="20"/>
          <w:szCs w:val="20"/>
          <w:lang w:val="uk-UA"/>
        </w:rPr>
        <w:t xml:space="preserve">ників, що відображають економічну безпеку (у </w:t>
      </w:r>
      <w:r w:rsidR="00D84436">
        <w:rPr>
          <w:rFonts w:eastAsia="Times New Roman"/>
          <w:sz w:val="20"/>
          <w:szCs w:val="20"/>
          <w:lang w:val="uk-UA"/>
        </w:rPr>
        <w:t>т. ч. і фінансову безпеку) бан</w:t>
      </w:r>
      <w:r w:rsidRPr="00D84436">
        <w:rPr>
          <w:rFonts w:eastAsia="Times New Roman"/>
          <w:sz w:val="20"/>
          <w:szCs w:val="20"/>
          <w:lang w:val="uk-UA"/>
        </w:rPr>
        <w:t>ків України, адже, на</w:t>
      </w:r>
      <w:r w:rsidR="00D84436">
        <w:rPr>
          <w:rFonts w:eastAsia="Times New Roman"/>
          <w:sz w:val="20"/>
          <w:szCs w:val="20"/>
          <w:lang w:val="uk-UA"/>
        </w:rPr>
        <w:t>приклад, незрозуміло, що авторами</w:t>
      </w:r>
      <w:r w:rsidRPr="00D84436">
        <w:rPr>
          <w:rFonts w:eastAsia="Times New Roman"/>
          <w:sz w:val="20"/>
          <w:szCs w:val="20"/>
          <w:lang w:val="uk-UA"/>
        </w:rPr>
        <w:t xml:space="preserve"> враховується і показник ефективності управління (цей показник може відображати як кількісну, так</w:t>
      </w:r>
      <w:r w:rsidR="00D84436">
        <w:rPr>
          <w:sz w:val="20"/>
          <w:szCs w:val="20"/>
          <w:lang w:val="uk-UA"/>
        </w:rPr>
        <w:t xml:space="preserve"> і </w:t>
      </w:r>
      <w:r w:rsidRPr="00D84436">
        <w:rPr>
          <w:rFonts w:eastAsia="Times New Roman"/>
          <w:sz w:val="20"/>
          <w:szCs w:val="20"/>
          <w:lang w:val="uk-UA"/>
        </w:rPr>
        <w:t>якісну складову управління, яку неможливо математично виразити), також невраховані показники, які відображають валютні ризики.</w:t>
      </w:r>
    </w:p>
    <w:p w:rsidR="009134EA" w:rsidRDefault="00F67BF6">
      <w:pPr>
        <w:ind w:left="10" w:firstLine="283"/>
        <w:jc w:val="both"/>
        <w:rPr>
          <w:rFonts w:eastAsia="Times New Roman"/>
          <w:sz w:val="20"/>
          <w:szCs w:val="20"/>
        </w:rPr>
      </w:pPr>
      <w:r w:rsidRPr="00241FCD">
        <w:rPr>
          <w:rFonts w:eastAsia="Times New Roman"/>
          <w:sz w:val="20"/>
          <w:szCs w:val="20"/>
          <w:lang w:val="uk-UA"/>
        </w:rPr>
        <w:t>Поряд з кількісними моделями та методами оцінки рівня фінансової безпеки банків і банківської системи варто відзначити підходи до оцінки якісних показників фінансової безпеки, зокрема методи експертних оцінок, що ґрунтуються на анкетуванні банківських фахівці. Така практика оцінки фінансової безпеки банків і банківських установ може бути доповненням проаналізованих вище кількісних моделей і методів, оскільки в такій оцінці присутній суб’єк</w:t>
      </w:r>
      <w:r w:rsidR="00D84436" w:rsidRPr="00241FCD">
        <w:rPr>
          <w:rFonts w:eastAsia="Times New Roman"/>
          <w:sz w:val="20"/>
          <w:szCs w:val="20"/>
          <w:lang w:val="uk-UA"/>
        </w:rPr>
        <w:t>тивний фак</w:t>
      </w:r>
      <w:r w:rsidRPr="00241FCD">
        <w:rPr>
          <w:rFonts w:eastAsia="Times New Roman"/>
          <w:sz w:val="20"/>
          <w:szCs w:val="20"/>
          <w:lang w:val="uk-UA"/>
        </w:rPr>
        <w:t>тор експертів. Механізм здійснення такої оцін</w:t>
      </w:r>
      <w:r w:rsidR="00D84436" w:rsidRPr="00241FCD">
        <w:rPr>
          <w:rFonts w:eastAsia="Times New Roman"/>
          <w:sz w:val="20"/>
          <w:szCs w:val="20"/>
          <w:lang w:val="uk-UA"/>
        </w:rPr>
        <w:t>ки передбачає формування різно</w:t>
      </w:r>
      <w:r w:rsidRPr="00241FCD">
        <w:rPr>
          <w:rFonts w:eastAsia="Times New Roman"/>
          <w:sz w:val="20"/>
          <w:szCs w:val="20"/>
          <w:lang w:val="uk-UA"/>
        </w:rPr>
        <w:t xml:space="preserve">манітних анкет і проведення опитування компетентними органами експертів на щомісячній, щоквартальній чи щорічній основі. </w:t>
      </w:r>
      <w:r>
        <w:rPr>
          <w:rFonts w:eastAsia="Times New Roman"/>
          <w:sz w:val="20"/>
          <w:szCs w:val="20"/>
        </w:rPr>
        <w:t xml:space="preserve">Одним з </w:t>
      </w:r>
      <w:proofErr w:type="spellStart"/>
      <w:r>
        <w:rPr>
          <w:rFonts w:eastAsia="Times New Roman"/>
          <w:sz w:val="20"/>
          <w:szCs w:val="20"/>
        </w:rPr>
        <w:t>варіантів</w:t>
      </w:r>
      <w:proofErr w:type="spellEnd"/>
      <w:r>
        <w:rPr>
          <w:rFonts w:eastAsia="Times New Roman"/>
          <w:sz w:val="20"/>
          <w:szCs w:val="20"/>
        </w:rPr>
        <w:t xml:space="preserve"> таких анкет є </w:t>
      </w:r>
      <w:proofErr w:type="spellStart"/>
      <w:r>
        <w:rPr>
          <w:rFonts w:eastAsia="Times New Roman"/>
          <w:sz w:val="20"/>
          <w:szCs w:val="20"/>
        </w:rPr>
        <w:t>варіант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анкети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розроблений</w:t>
      </w:r>
      <w:proofErr w:type="spellEnd"/>
      <w:r>
        <w:rPr>
          <w:rFonts w:eastAsia="Times New Roman"/>
          <w:sz w:val="20"/>
          <w:szCs w:val="20"/>
        </w:rPr>
        <w:t xml:space="preserve"> А.О. </w:t>
      </w:r>
      <w:proofErr w:type="spellStart"/>
      <w:r w:rsidR="00D84436">
        <w:rPr>
          <w:rFonts w:eastAsia="Times New Roman"/>
          <w:sz w:val="20"/>
          <w:szCs w:val="20"/>
        </w:rPr>
        <w:t>Є</w:t>
      </w:r>
      <w:proofErr w:type="gramStart"/>
      <w:r w:rsidR="00D84436">
        <w:rPr>
          <w:rFonts w:eastAsia="Times New Roman"/>
          <w:sz w:val="20"/>
          <w:szCs w:val="20"/>
        </w:rPr>
        <w:t>п</w:t>
      </w:r>
      <w:proofErr w:type="gramEnd"/>
      <w:r w:rsidR="00D84436">
        <w:rPr>
          <w:rFonts w:eastAsia="Times New Roman"/>
          <w:sz w:val="20"/>
          <w:szCs w:val="20"/>
        </w:rPr>
        <w:t>іфановим</w:t>
      </w:r>
      <w:proofErr w:type="spellEnd"/>
      <w:r w:rsidR="00D84436">
        <w:rPr>
          <w:rFonts w:eastAsia="Times New Roman"/>
          <w:sz w:val="20"/>
          <w:szCs w:val="20"/>
        </w:rPr>
        <w:t xml:space="preserve"> та О.Л. Пластуном</w:t>
      </w:r>
      <w:r>
        <w:rPr>
          <w:rFonts w:eastAsia="Times New Roman"/>
          <w:sz w:val="20"/>
          <w:szCs w:val="20"/>
        </w:rPr>
        <w:t>.</w:t>
      </w:r>
    </w:p>
    <w:p w:rsidR="009134EA" w:rsidRDefault="009134EA">
      <w:pPr>
        <w:spacing w:line="50" w:lineRule="exact"/>
        <w:rPr>
          <w:rFonts w:eastAsia="Times New Roman"/>
          <w:sz w:val="20"/>
          <w:szCs w:val="20"/>
        </w:rPr>
      </w:pPr>
    </w:p>
    <w:p w:rsidR="009134EA" w:rsidRDefault="00F67BF6">
      <w:pPr>
        <w:ind w:left="10" w:firstLine="28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Аналізуючи моделі та показники оцінки рівня безпеки банківської діяльності, можна зробити висновок, що сьогодні існує проблема не тільки вибору необхідної кількості таких показників для оптимального аналізу фінансової безпеки банківської системи, а й проблема визначення найвпливовіших показників на фінансову безпеку банків, а відтак необхідною є розробка певної системи відбору таких показників (рис. 1).</w:t>
      </w:r>
    </w:p>
    <w:p w:rsidR="009134EA" w:rsidRDefault="009134EA">
      <w:pPr>
        <w:spacing w:line="122" w:lineRule="exact"/>
        <w:rPr>
          <w:rFonts w:eastAsia="Times New Roman"/>
          <w:sz w:val="20"/>
          <w:szCs w:val="20"/>
        </w:rPr>
      </w:pPr>
    </w:p>
    <w:p w:rsidR="00382BAB" w:rsidRDefault="00382BAB">
      <w:pPr>
        <w:spacing w:line="221" w:lineRule="auto"/>
        <w:ind w:left="10" w:right="20" w:firstLine="283"/>
        <w:jc w:val="both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В</w:t>
      </w:r>
      <w:r w:rsidR="00F67BF6">
        <w:rPr>
          <w:rFonts w:eastAsia="Times New Roman"/>
          <w:sz w:val="20"/>
          <w:szCs w:val="20"/>
        </w:rPr>
        <w:t>ибі</w:t>
      </w:r>
      <w:proofErr w:type="gramStart"/>
      <w:r w:rsidR="00F67BF6">
        <w:rPr>
          <w:rFonts w:eastAsia="Times New Roman"/>
          <w:sz w:val="20"/>
          <w:szCs w:val="20"/>
        </w:rPr>
        <w:t>р</w:t>
      </w:r>
      <w:proofErr w:type="spellEnd"/>
      <w:proofErr w:type="gramEnd"/>
      <w:r w:rsidR="00F67BF6">
        <w:rPr>
          <w:rFonts w:eastAsia="Times New Roman"/>
          <w:sz w:val="20"/>
          <w:szCs w:val="20"/>
        </w:rPr>
        <w:t xml:space="preserve"> показників для побудови коефіцієнтів, моделей і методів оцінки рівня фінансової безпеки банків і банківської системи необхідно здійснювати за такими принципами: </w:t>
      </w:r>
    </w:p>
    <w:p w:rsidR="00382BAB" w:rsidRPr="00382BAB" w:rsidRDefault="00F67BF6" w:rsidP="00382BAB">
      <w:pPr>
        <w:pStyle w:val="a4"/>
        <w:numPr>
          <w:ilvl w:val="0"/>
          <w:numId w:val="19"/>
        </w:numPr>
        <w:spacing w:line="221" w:lineRule="auto"/>
        <w:ind w:right="20"/>
        <w:jc w:val="both"/>
        <w:rPr>
          <w:rFonts w:eastAsia="Times New Roman"/>
          <w:sz w:val="20"/>
          <w:szCs w:val="20"/>
        </w:rPr>
      </w:pPr>
      <w:proofErr w:type="spellStart"/>
      <w:r w:rsidRPr="00382BAB">
        <w:rPr>
          <w:rFonts w:eastAsia="Times New Roman"/>
          <w:sz w:val="20"/>
          <w:szCs w:val="20"/>
        </w:rPr>
        <w:t>вимірності</w:t>
      </w:r>
      <w:proofErr w:type="spellEnd"/>
      <w:r w:rsidRPr="00382BAB">
        <w:rPr>
          <w:rFonts w:eastAsia="Times New Roman"/>
          <w:sz w:val="20"/>
          <w:szCs w:val="20"/>
        </w:rPr>
        <w:t xml:space="preserve">, </w:t>
      </w:r>
    </w:p>
    <w:p w:rsidR="00382BAB" w:rsidRPr="00382BAB" w:rsidRDefault="00F67BF6" w:rsidP="00382BAB">
      <w:pPr>
        <w:pStyle w:val="a4"/>
        <w:numPr>
          <w:ilvl w:val="0"/>
          <w:numId w:val="19"/>
        </w:numPr>
        <w:spacing w:line="221" w:lineRule="auto"/>
        <w:ind w:right="20"/>
        <w:jc w:val="both"/>
        <w:rPr>
          <w:rFonts w:eastAsia="Times New Roman"/>
          <w:sz w:val="20"/>
          <w:szCs w:val="20"/>
        </w:rPr>
      </w:pPr>
      <w:proofErr w:type="spellStart"/>
      <w:r w:rsidRPr="00382BAB">
        <w:rPr>
          <w:rFonts w:eastAsia="Times New Roman"/>
          <w:sz w:val="20"/>
          <w:szCs w:val="20"/>
        </w:rPr>
        <w:t>прогнозованості</w:t>
      </w:r>
      <w:proofErr w:type="spellEnd"/>
      <w:r w:rsidRPr="00382BAB">
        <w:rPr>
          <w:rFonts w:eastAsia="Times New Roman"/>
          <w:sz w:val="20"/>
          <w:szCs w:val="20"/>
        </w:rPr>
        <w:t xml:space="preserve"> </w:t>
      </w:r>
    </w:p>
    <w:p w:rsidR="009134EA" w:rsidRPr="00382BAB" w:rsidRDefault="00F67BF6" w:rsidP="00382BAB">
      <w:pPr>
        <w:pStyle w:val="a4"/>
        <w:numPr>
          <w:ilvl w:val="0"/>
          <w:numId w:val="19"/>
        </w:numPr>
        <w:spacing w:line="221" w:lineRule="auto"/>
        <w:ind w:right="20"/>
        <w:jc w:val="both"/>
        <w:rPr>
          <w:rFonts w:eastAsia="Times New Roman"/>
          <w:sz w:val="20"/>
          <w:szCs w:val="20"/>
        </w:rPr>
      </w:pPr>
      <w:proofErr w:type="spellStart"/>
      <w:r w:rsidRPr="00382BAB">
        <w:rPr>
          <w:rFonts w:eastAsia="Times New Roman"/>
          <w:sz w:val="20"/>
          <w:szCs w:val="20"/>
        </w:rPr>
        <w:t>значущості</w:t>
      </w:r>
      <w:proofErr w:type="spellEnd"/>
      <w:r w:rsidRPr="00382BAB">
        <w:rPr>
          <w:rFonts w:eastAsia="Times New Roman"/>
          <w:sz w:val="20"/>
          <w:szCs w:val="20"/>
        </w:rPr>
        <w:t>.</w:t>
      </w:r>
    </w:p>
    <w:p w:rsidR="009134EA" w:rsidRDefault="00F67BF6">
      <w:pPr>
        <w:ind w:left="10" w:right="20" w:firstLine="283"/>
        <w:jc w:val="both"/>
        <w:rPr>
          <w:rFonts w:eastAsia="Times New Roman"/>
          <w:sz w:val="20"/>
          <w:szCs w:val="20"/>
        </w:rPr>
      </w:pPr>
      <w:r w:rsidRPr="00382BAB">
        <w:rPr>
          <w:rFonts w:eastAsia="Times New Roman"/>
          <w:b/>
          <w:i/>
          <w:sz w:val="20"/>
          <w:szCs w:val="20"/>
        </w:rPr>
        <w:t xml:space="preserve">Суть принципу </w:t>
      </w:r>
      <w:proofErr w:type="spellStart"/>
      <w:r w:rsidRPr="00382BAB">
        <w:rPr>
          <w:rFonts w:eastAsia="Times New Roman"/>
          <w:b/>
          <w:i/>
          <w:sz w:val="20"/>
          <w:szCs w:val="20"/>
        </w:rPr>
        <w:t>вимірності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полягає</w:t>
      </w:r>
      <w:proofErr w:type="spellEnd"/>
      <w:r>
        <w:rPr>
          <w:rFonts w:eastAsia="Times New Roman"/>
          <w:sz w:val="20"/>
          <w:szCs w:val="20"/>
        </w:rPr>
        <w:t xml:space="preserve"> в тому, </w:t>
      </w:r>
      <w:proofErr w:type="spellStart"/>
      <w:r w:rsidR="00D84436">
        <w:rPr>
          <w:rFonts w:eastAsia="Times New Roman"/>
          <w:sz w:val="20"/>
          <w:szCs w:val="20"/>
        </w:rPr>
        <w:t>що</w:t>
      </w:r>
      <w:proofErr w:type="spellEnd"/>
      <w:r w:rsidR="00D84436">
        <w:rPr>
          <w:rFonts w:eastAsia="Times New Roman"/>
          <w:sz w:val="20"/>
          <w:szCs w:val="20"/>
        </w:rPr>
        <w:t xml:space="preserve"> </w:t>
      </w:r>
      <w:proofErr w:type="spellStart"/>
      <w:r w:rsidR="00D84436">
        <w:rPr>
          <w:rFonts w:eastAsia="Times New Roman"/>
          <w:sz w:val="20"/>
          <w:szCs w:val="20"/>
        </w:rPr>
        <w:t>пропонований</w:t>
      </w:r>
      <w:proofErr w:type="spellEnd"/>
      <w:r w:rsidR="00D84436">
        <w:rPr>
          <w:rFonts w:eastAsia="Times New Roman"/>
          <w:sz w:val="20"/>
          <w:szCs w:val="20"/>
        </w:rPr>
        <w:t xml:space="preserve"> </w:t>
      </w:r>
      <w:proofErr w:type="spellStart"/>
      <w:r w:rsidR="00D84436">
        <w:rPr>
          <w:rFonts w:eastAsia="Times New Roman"/>
          <w:sz w:val="20"/>
          <w:szCs w:val="20"/>
        </w:rPr>
        <w:t>показник</w:t>
      </w:r>
      <w:proofErr w:type="spellEnd"/>
      <w:r w:rsidR="00D84436">
        <w:rPr>
          <w:rFonts w:eastAsia="Times New Roman"/>
          <w:sz w:val="20"/>
          <w:szCs w:val="20"/>
        </w:rPr>
        <w:t xml:space="preserve"> </w:t>
      </w:r>
      <w:proofErr w:type="spellStart"/>
      <w:r w:rsidR="00D84436">
        <w:rPr>
          <w:rFonts w:eastAsia="Times New Roman"/>
          <w:sz w:val="20"/>
          <w:szCs w:val="20"/>
        </w:rPr>
        <w:t>діяль</w:t>
      </w:r>
      <w:r>
        <w:rPr>
          <w:rFonts w:eastAsia="Times New Roman"/>
          <w:sz w:val="20"/>
          <w:szCs w:val="20"/>
        </w:rPr>
        <w:t>ності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банків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або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функціонування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банківської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системи</w:t>
      </w:r>
      <w:proofErr w:type="spellEnd"/>
      <w:r>
        <w:rPr>
          <w:rFonts w:eastAsia="Times New Roman"/>
          <w:sz w:val="20"/>
          <w:szCs w:val="20"/>
        </w:rPr>
        <w:t xml:space="preserve"> має бути вимірним, тобто мати конкретне кількісне значення в абсолютному чи відносному значенні. </w:t>
      </w:r>
      <w:proofErr w:type="gramStart"/>
      <w:r>
        <w:rPr>
          <w:rFonts w:eastAsia="Times New Roman"/>
          <w:sz w:val="20"/>
          <w:szCs w:val="20"/>
        </w:rPr>
        <w:t>Окр</w:t>
      </w:r>
      <w:proofErr w:type="gramEnd"/>
      <w:r>
        <w:rPr>
          <w:rFonts w:eastAsia="Times New Roman"/>
          <w:sz w:val="20"/>
          <w:szCs w:val="20"/>
        </w:rPr>
        <w:t xml:space="preserve">ім цього, </w:t>
      </w:r>
      <w:proofErr w:type="spellStart"/>
      <w:r>
        <w:rPr>
          <w:rFonts w:eastAsia="Times New Roman"/>
          <w:sz w:val="20"/>
          <w:szCs w:val="20"/>
        </w:rPr>
        <w:t>цифрові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дані</w:t>
      </w:r>
      <w:proofErr w:type="spellEnd"/>
      <w:r>
        <w:rPr>
          <w:rFonts w:eastAsia="Times New Roman"/>
          <w:sz w:val="20"/>
          <w:szCs w:val="20"/>
        </w:rPr>
        <w:t xml:space="preserve"> для </w:t>
      </w:r>
      <w:proofErr w:type="spellStart"/>
      <w:r>
        <w:rPr>
          <w:rFonts w:eastAsia="Times New Roman"/>
          <w:sz w:val="20"/>
          <w:szCs w:val="20"/>
        </w:rPr>
        <w:t>обчислення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значення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цього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показника</w:t>
      </w:r>
      <w:proofErr w:type="spellEnd"/>
      <w:r w:rsidR="00D84436">
        <w:rPr>
          <w:rFonts w:eastAsia="Times New Roman"/>
          <w:sz w:val="20"/>
          <w:szCs w:val="20"/>
        </w:rPr>
        <w:t xml:space="preserve"> </w:t>
      </w:r>
      <w:proofErr w:type="spellStart"/>
      <w:r w:rsidR="00D84436">
        <w:rPr>
          <w:rFonts w:eastAsia="Times New Roman"/>
          <w:sz w:val="20"/>
          <w:szCs w:val="20"/>
        </w:rPr>
        <w:t>мають</w:t>
      </w:r>
      <w:proofErr w:type="spellEnd"/>
      <w:r w:rsidR="00D84436">
        <w:rPr>
          <w:rFonts w:eastAsia="Times New Roman"/>
          <w:sz w:val="20"/>
          <w:szCs w:val="20"/>
        </w:rPr>
        <w:t xml:space="preserve"> бути </w:t>
      </w:r>
      <w:proofErr w:type="spellStart"/>
      <w:r w:rsidR="00D84436">
        <w:rPr>
          <w:rFonts w:eastAsia="Times New Roman"/>
          <w:sz w:val="20"/>
          <w:szCs w:val="20"/>
        </w:rPr>
        <w:t>дос</w:t>
      </w:r>
      <w:r>
        <w:rPr>
          <w:rFonts w:eastAsia="Times New Roman"/>
          <w:sz w:val="20"/>
          <w:szCs w:val="20"/>
        </w:rPr>
        <w:t>тупними</w:t>
      </w:r>
      <w:proofErr w:type="spellEnd"/>
      <w:r>
        <w:rPr>
          <w:rFonts w:eastAsia="Times New Roman"/>
          <w:sz w:val="20"/>
          <w:szCs w:val="20"/>
        </w:rPr>
        <w:t xml:space="preserve"> для </w:t>
      </w:r>
      <w:proofErr w:type="spellStart"/>
      <w:r>
        <w:rPr>
          <w:rFonts w:eastAsia="Times New Roman"/>
          <w:sz w:val="20"/>
          <w:szCs w:val="20"/>
        </w:rPr>
        <w:t>дослідника</w:t>
      </w:r>
      <w:proofErr w:type="spellEnd"/>
      <w:r>
        <w:rPr>
          <w:rFonts w:eastAsia="Times New Roman"/>
          <w:sz w:val="20"/>
          <w:szCs w:val="20"/>
        </w:rPr>
        <w:t>.</w:t>
      </w:r>
    </w:p>
    <w:p w:rsidR="009134EA" w:rsidRDefault="009134EA">
      <w:pPr>
        <w:spacing w:line="140" w:lineRule="exact"/>
        <w:rPr>
          <w:rFonts w:eastAsia="Times New Roman"/>
          <w:sz w:val="20"/>
          <w:szCs w:val="20"/>
        </w:rPr>
      </w:pPr>
    </w:p>
    <w:p w:rsidR="009134EA" w:rsidRDefault="00F67BF6">
      <w:pPr>
        <w:spacing w:line="221" w:lineRule="auto"/>
        <w:ind w:left="10" w:firstLine="283"/>
        <w:jc w:val="both"/>
        <w:rPr>
          <w:rFonts w:eastAsia="Times New Roman"/>
          <w:sz w:val="20"/>
          <w:szCs w:val="20"/>
        </w:rPr>
      </w:pPr>
      <w:r w:rsidRPr="00382BAB">
        <w:rPr>
          <w:rFonts w:eastAsia="Times New Roman"/>
          <w:b/>
          <w:i/>
          <w:sz w:val="20"/>
          <w:szCs w:val="20"/>
        </w:rPr>
        <w:lastRenderedPageBreak/>
        <w:t>Принцип прогнозованості</w:t>
      </w:r>
      <w:r>
        <w:rPr>
          <w:rFonts w:eastAsia="Times New Roman"/>
          <w:sz w:val="20"/>
          <w:szCs w:val="20"/>
        </w:rPr>
        <w:t xml:space="preserve"> передбачає змогу прогнозування майбутньої динаміки того чи іншого показника, оскільки однією з основних вимог до управління тим чи іншим процесом є його прогнозованість.</w:t>
      </w:r>
    </w:p>
    <w:p w:rsidR="009134EA" w:rsidRDefault="00F67BF6">
      <w:pPr>
        <w:spacing w:line="221" w:lineRule="auto"/>
        <w:ind w:left="10" w:right="20" w:firstLine="283"/>
        <w:jc w:val="both"/>
        <w:rPr>
          <w:rFonts w:eastAsia="Times New Roman"/>
          <w:sz w:val="20"/>
          <w:szCs w:val="20"/>
        </w:rPr>
      </w:pPr>
      <w:r w:rsidRPr="00382BAB">
        <w:rPr>
          <w:rFonts w:eastAsia="Times New Roman"/>
          <w:b/>
          <w:i/>
          <w:sz w:val="20"/>
          <w:szCs w:val="20"/>
        </w:rPr>
        <w:t>Суть принципу значущості</w:t>
      </w:r>
      <w:r>
        <w:rPr>
          <w:rFonts w:eastAsia="Times New Roman"/>
          <w:sz w:val="20"/>
          <w:szCs w:val="20"/>
        </w:rPr>
        <w:t xml:space="preserve">, полягає в тому, що показник має бути значущим для діяльності банків і мати вагомий вплив </w:t>
      </w:r>
      <w:proofErr w:type="gramStart"/>
      <w:r>
        <w:rPr>
          <w:rFonts w:eastAsia="Times New Roman"/>
          <w:sz w:val="20"/>
          <w:szCs w:val="20"/>
        </w:rPr>
        <w:t>на</w:t>
      </w:r>
      <w:proofErr w:type="gramEnd"/>
      <w:r>
        <w:rPr>
          <w:rFonts w:eastAsia="Times New Roman"/>
          <w:sz w:val="20"/>
          <w:szCs w:val="20"/>
        </w:rPr>
        <w:t xml:space="preserve"> кількісні параметри його діяльності</w:t>
      </w:r>
    </w:p>
    <w:p w:rsidR="009134EA" w:rsidRDefault="00F67BF6">
      <w:pPr>
        <w:numPr>
          <w:ilvl w:val="0"/>
          <w:numId w:val="5"/>
        </w:numPr>
        <w:tabs>
          <w:tab w:val="left" w:pos="130"/>
        </w:tabs>
        <w:spacing w:line="221" w:lineRule="auto"/>
        <w:ind w:left="130" w:hanging="13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фінансову безпеку банку загалом.</w:t>
      </w:r>
    </w:p>
    <w:p w:rsidR="009134EA" w:rsidRDefault="00F67BF6">
      <w:pPr>
        <w:spacing w:line="222" w:lineRule="auto"/>
        <w:ind w:left="10" w:right="20" w:firstLine="283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Щодо </w:t>
      </w:r>
      <w:proofErr w:type="spellStart"/>
      <w:r>
        <w:rPr>
          <w:rFonts w:eastAsia="Times New Roman"/>
          <w:sz w:val="20"/>
          <w:szCs w:val="20"/>
        </w:rPr>
        <w:t>вибору</w:t>
      </w:r>
      <w:proofErr w:type="spellEnd"/>
      <w:r>
        <w:rPr>
          <w:rFonts w:eastAsia="Times New Roman"/>
          <w:sz w:val="20"/>
          <w:szCs w:val="20"/>
        </w:rPr>
        <w:t xml:space="preserve"> самих </w:t>
      </w:r>
      <w:proofErr w:type="spellStart"/>
      <w:r>
        <w:rPr>
          <w:rFonts w:eastAsia="Times New Roman"/>
          <w:sz w:val="20"/>
          <w:szCs w:val="20"/>
        </w:rPr>
        <w:t>показників</w:t>
      </w:r>
      <w:proofErr w:type="spellEnd"/>
      <w:r>
        <w:rPr>
          <w:rFonts w:eastAsia="Times New Roman"/>
          <w:sz w:val="20"/>
          <w:szCs w:val="20"/>
        </w:rPr>
        <w:t>, то</w:t>
      </w:r>
      <w:r w:rsidR="00382BAB"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необхідно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враховувати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досвід</w:t>
      </w:r>
      <w:proofErr w:type="spellEnd"/>
      <w:r>
        <w:rPr>
          <w:rFonts w:eastAsia="Times New Roman"/>
          <w:sz w:val="20"/>
          <w:szCs w:val="20"/>
        </w:rPr>
        <w:t xml:space="preserve"> кризових явищ економіки України та зовнішні загрози, які стоять перед вітчизняною економікою, у тому </w:t>
      </w:r>
      <w:proofErr w:type="spellStart"/>
      <w:r>
        <w:rPr>
          <w:rFonts w:eastAsia="Times New Roman"/>
          <w:sz w:val="20"/>
          <w:szCs w:val="20"/>
        </w:rPr>
        <w:t>числі</w:t>
      </w:r>
      <w:proofErr w:type="spellEnd"/>
      <w:r>
        <w:rPr>
          <w:rFonts w:eastAsia="Times New Roman"/>
          <w:sz w:val="20"/>
          <w:szCs w:val="20"/>
        </w:rPr>
        <w:t xml:space="preserve"> і </w:t>
      </w:r>
      <w:proofErr w:type="spellStart"/>
      <w:r>
        <w:rPr>
          <w:rFonts w:eastAsia="Times New Roman"/>
          <w:sz w:val="20"/>
          <w:szCs w:val="20"/>
        </w:rPr>
        <w:t>загроза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війни</w:t>
      </w:r>
      <w:proofErr w:type="spellEnd"/>
      <w:r>
        <w:rPr>
          <w:rFonts w:eastAsia="Times New Roman"/>
          <w:sz w:val="20"/>
          <w:szCs w:val="20"/>
        </w:rPr>
        <w:t xml:space="preserve">, яка </w:t>
      </w:r>
      <w:proofErr w:type="spellStart"/>
      <w:proofErr w:type="gramStart"/>
      <w:r>
        <w:rPr>
          <w:rFonts w:eastAsia="Times New Roman"/>
          <w:sz w:val="20"/>
          <w:szCs w:val="20"/>
        </w:rPr>
        <w:t>включає</w:t>
      </w:r>
      <w:proofErr w:type="spellEnd"/>
      <w:r>
        <w:rPr>
          <w:rFonts w:eastAsia="Times New Roman"/>
          <w:sz w:val="20"/>
          <w:szCs w:val="20"/>
        </w:rPr>
        <w:t xml:space="preserve"> в</w:t>
      </w:r>
      <w:proofErr w:type="gramEnd"/>
    </w:p>
    <w:p w:rsidR="009134EA" w:rsidRDefault="00F67BF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160655</wp:posOffset>
                </wp:positionV>
                <wp:extent cx="5040630" cy="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406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05pt,12.65pt" to="396.95pt,12.65pt" o:allowincell="f" strokecolor="#999999" strokeweight="2pt"/>
            </w:pict>
          </mc:Fallback>
        </mc:AlternateContent>
      </w:r>
    </w:p>
    <w:tbl>
      <w:tblPr>
        <w:tblW w:w="79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400"/>
        <w:gridCol w:w="480"/>
        <w:gridCol w:w="2500"/>
        <w:gridCol w:w="480"/>
        <w:gridCol w:w="880"/>
        <w:gridCol w:w="2740"/>
        <w:gridCol w:w="20"/>
      </w:tblGrid>
      <w:tr w:rsidR="009134EA" w:rsidTr="00D84436">
        <w:trPr>
          <w:trHeight w:val="195"/>
        </w:trPr>
        <w:tc>
          <w:tcPr>
            <w:tcW w:w="7920" w:type="dxa"/>
            <w:gridSpan w:val="7"/>
            <w:vAlign w:val="bottom"/>
          </w:tcPr>
          <w:p w:rsidR="009134EA" w:rsidRDefault="0091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 w:rsidTr="00D84436">
        <w:trPr>
          <w:trHeight w:val="227"/>
        </w:trPr>
        <w:tc>
          <w:tcPr>
            <w:tcW w:w="440" w:type="dxa"/>
            <w:vAlign w:val="bottom"/>
          </w:tcPr>
          <w:p w:rsidR="009134EA" w:rsidRDefault="009134EA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9134EA" w:rsidRDefault="009134EA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19"/>
                <w:szCs w:val="19"/>
              </w:rPr>
            </w:pPr>
          </w:p>
        </w:tc>
        <w:tc>
          <w:tcPr>
            <w:tcW w:w="6600" w:type="dxa"/>
            <w:gridSpan w:val="4"/>
            <w:vAlign w:val="bottom"/>
          </w:tcPr>
          <w:p w:rsidR="009134EA" w:rsidRDefault="009134EA">
            <w:pPr>
              <w:ind w:right="1236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 w:rsidTr="00D84436">
        <w:trPr>
          <w:trHeight w:val="819"/>
        </w:trPr>
        <w:tc>
          <w:tcPr>
            <w:tcW w:w="440" w:type="dxa"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5"/>
            <w:vAlign w:val="bottom"/>
          </w:tcPr>
          <w:p w:rsidR="009134EA" w:rsidRDefault="00F67BF6">
            <w:pPr>
              <w:ind w:right="49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Система вибору показників оцінки фінансової безпеки банків і</w:t>
            </w:r>
          </w:p>
        </w:tc>
        <w:tc>
          <w:tcPr>
            <w:tcW w:w="2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 w:rsidTr="00D84436">
        <w:trPr>
          <w:trHeight w:val="292"/>
        </w:trPr>
        <w:tc>
          <w:tcPr>
            <w:tcW w:w="440" w:type="dxa"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3"/>
            <w:vAlign w:val="bottom"/>
          </w:tcPr>
          <w:p w:rsidR="009134EA" w:rsidRDefault="00F67BF6">
            <w:pPr>
              <w:ind w:left="159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</w:rPr>
              <w:t>банківської</w:t>
            </w:r>
            <w:proofErr w:type="spellEnd"/>
            <w:r>
              <w:rPr>
                <w:rFonts w:eastAsia="Times New Roman"/>
                <w:b/>
                <w:bCs/>
                <w:w w:val="99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w w:val="99"/>
                <w:highlight w:val="black"/>
              </w:rPr>
              <w:t>системи</w:t>
            </w:r>
            <w:proofErr w:type="spellEnd"/>
          </w:p>
        </w:tc>
        <w:tc>
          <w:tcPr>
            <w:tcW w:w="2740" w:type="dxa"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 w:rsidTr="00D84436">
        <w:trPr>
          <w:trHeight w:val="619"/>
        </w:trPr>
        <w:tc>
          <w:tcPr>
            <w:tcW w:w="440" w:type="dxa"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A5DC9" w:rsidRPr="006A5DC9" w:rsidRDefault="006A5D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9134EA" w:rsidRDefault="00F67BF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Комерційний банк</w:t>
            </w: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9134EA" w:rsidRDefault="00F67BF6">
            <w:pPr>
              <w:ind w:right="81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Банківська система</w:t>
            </w:r>
          </w:p>
        </w:tc>
        <w:tc>
          <w:tcPr>
            <w:tcW w:w="2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 w:rsidTr="00D84436">
        <w:trPr>
          <w:trHeight w:val="454"/>
        </w:trPr>
        <w:tc>
          <w:tcPr>
            <w:tcW w:w="440" w:type="dxa"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9134EA" w:rsidRDefault="00F67BF6">
            <w:pPr>
              <w:ind w:left="7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1. Показники, що характеризують</w:t>
            </w: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vAlign w:val="bottom"/>
          </w:tcPr>
          <w:p w:rsidR="009134EA" w:rsidRDefault="00F67BF6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1. Показники, що відображають стан</w:t>
            </w:r>
          </w:p>
        </w:tc>
        <w:tc>
          <w:tcPr>
            <w:tcW w:w="2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 w:rsidTr="00D84436">
        <w:trPr>
          <w:trHeight w:val="190"/>
        </w:trPr>
        <w:tc>
          <w:tcPr>
            <w:tcW w:w="440" w:type="dxa"/>
            <w:vAlign w:val="bottom"/>
          </w:tcPr>
          <w:p w:rsidR="009134EA" w:rsidRDefault="009134EA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9134EA" w:rsidRDefault="009134EA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vAlign w:val="bottom"/>
          </w:tcPr>
          <w:p w:rsidR="009134EA" w:rsidRDefault="00F67BF6">
            <w:pPr>
              <w:ind w:left="5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6"/>
                <w:szCs w:val="16"/>
              </w:rPr>
              <w:t>напрями діяльності банку та</w:t>
            </w: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9134EA" w:rsidRDefault="009134EA">
            <w:pPr>
              <w:rPr>
                <w:sz w:val="16"/>
                <w:szCs w:val="16"/>
              </w:rPr>
            </w:pPr>
          </w:p>
        </w:tc>
        <w:tc>
          <w:tcPr>
            <w:tcW w:w="2740" w:type="dxa"/>
            <w:vAlign w:val="bottom"/>
          </w:tcPr>
          <w:p w:rsidR="009134EA" w:rsidRDefault="00F67BF6">
            <w:pPr>
              <w:ind w:right="11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банківської системи</w:t>
            </w:r>
          </w:p>
        </w:tc>
        <w:tc>
          <w:tcPr>
            <w:tcW w:w="2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 w:rsidTr="00D84436">
        <w:trPr>
          <w:trHeight w:val="210"/>
        </w:trPr>
        <w:tc>
          <w:tcPr>
            <w:tcW w:w="440" w:type="dxa"/>
            <w:vAlign w:val="bottom"/>
          </w:tcPr>
          <w:p w:rsidR="009134EA" w:rsidRDefault="009134E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9134EA" w:rsidRDefault="009134EA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gridSpan w:val="2"/>
            <w:vAlign w:val="bottom"/>
          </w:tcPr>
          <w:p w:rsidR="009134EA" w:rsidRDefault="00F67BF6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відображають його фінансову стійкість</w:t>
            </w:r>
          </w:p>
        </w:tc>
        <w:tc>
          <w:tcPr>
            <w:tcW w:w="880" w:type="dxa"/>
            <w:vAlign w:val="bottom"/>
          </w:tcPr>
          <w:p w:rsidR="009134EA" w:rsidRDefault="009134EA">
            <w:pPr>
              <w:rPr>
                <w:sz w:val="18"/>
                <w:szCs w:val="18"/>
              </w:rPr>
            </w:pPr>
          </w:p>
        </w:tc>
        <w:tc>
          <w:tcPr>
            <w:tcW w:w="2740" w:type="dxa"/>
            <w:vAlign w:val="bottom"/>
          </w:tcPr>
          <w:p w:rsidR="009134EA" w:rsidRDefault="009134EA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 w:rsidTr="00D84436">
        <w:trPr>
          <w:trHeight w:val="559"/>
        </w:trPr>
        <w:tc>
          <w:tcPr>
            <w:tcW w:w="440" w:type="dxa"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9134EA" w:rsidRDefault="00F67B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Капітал</w:t>
            </w:r>
          </w:p>
        </w:tc>
        <w:tc>
          <w:tcPr>
            <w:tcW w:w="1360" w:type="dxa"/>
            <w:gridSpan w:val="2"/>
            <w:vMerge w:val="restart"/>
            <w:vAlign w:val="bottom"/>
          </w:tcPr>
          <w:p w:rsidR="009134EA" w:rsidRDefault="00F67BF6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Ліквідність</w:t>
            </w:r>
          </w:p>
        </w:tc>
        <w:tc>
          <w:tcPr>
            <w:tcW w:w="2740" w:type="dxa"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 w:rsidTr="00D84436">
        <w:trPr>
          <w:trHeight w:val="204"/>
        </w:trPr>
        <w:tc>
          <w:tcPr>
            <w:tcW w:w="440" w:type="dxa"/>
            <w:vAlign w:val="bottom"/>
          </w:tcPr>
          <w:p w:rsidR="009134EA" w:rsidRDefault="009134EA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Merge w:val="restart"/>
            <w:textDirection w:val="btLr"/>
            <w:vAlign w:val="bottom"/>
          </w:tcPr>
          <w:p w:rsidR="009134EA" w:rsidRDefault="00F67BF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6"/>
                <w:szCs w:val="16"/>
              </w:rPr>
              <w:t>Значущості</w:t>
            </w: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vMerge w:val="restart"/>
            <w:vAlign w:val="bottom"/>
          </w:tcPr>
          <w:p w:rsidR="009134EA" w:rsidRDefault="00F67B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Ліквідність</w:t>
            </w:r>
          </w:p>
        </w:tc>
        <w:tc>
          <w:tcPr>
            <w:tcW w:w="1360" w:type="dxa"/>
            <w:gridSpan w:val="2"/>
            <w:vMerge/>
            <w:vAlign w:val="bottom"/>
          </w:tcPr>
          <w:p w:rsidR="009134EA" w:rsidRDefault="009134EA">
            <w:pPr>
              <w:rPr>
                <w:sz w:val="17"/>
                <w:szCs w:val="17"/>
              </w:rPr>
            </w:pPr>
          </w:p>
        </w:tc>
        <w:tc>
          <w:tcPr>
            <w:tcW w:w="2740" w:type="dxa"/>
            <w:vAlign w:val="bottom"/>
          </w:tcPr>
          <w:p w:rsidR="009134EA" w:rsidRDefault="009134EA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 w:rsidTr="00D84436">
        <w:trPr>
          <w:trHeight w:val="173"/>
        </w:trPr>
        <w:tc>
          <w:tcPr>
            <w:tcW w:w="440" w:type="dxa"/>
            <w:vAlign w:val="bottom"/>
          </w:tcPr>
          <w:p w:rsidR="009134EA" w:rsidRDefault="009134EA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Merge/>
            <w:vAlign w:val="bottom"/>
          </w:tcPr>
          <w:p w:rsidR="009134EA" w:rsidRDefault="009134EA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Merge w:val="restart"/>
            <w:textDirection w:val="btLr"/>
            <w:vAlign w:val="bottom"/>
          </w:tcPr>
          <w:p w:rsidR="009134EA" w:rsidRDefault="00F67BF6">
            <w:pPr>
              <w:ind w:left="296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стійкість</w:t>
            </w:r>
          </w:p>
        </w:tc>
        <w:tc>
          <w:tcPr>
            <w:tcW w:w="2500" w:type="dxa"/>
            <w:vMerge/>
            <w:vAlign w:val="bottom"/>
          </w:tcPr>
          <w:p w:rsidR="009134EA" w:rsidRDefault="009134EA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:rsidR="009134EA" w:rsidRDefault="009134EA">
            <w:pPr>
              <w:rPr>
                <w:sz w:val="15"/>
                <w:szCs w:val="15"/>
              </w:rPr>
            </w:pPr>
          </w:p>
        </w:tc>
        <w:tc>
          <w:tcPr>
            <w:tcW w:w="2740" w:type="dxa"/>
            <w:vAlign w:val="bottom"/>
          </w:tcPr>
          <w:p w:rsidR="009134EA" w:rsidRDefault="009134EA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 w:rsidTr="00D84436">
        <w:trPr>
          <w:trHeight w:val="377"/>
        </w:trPr>
        <w:tc>
          <w:tcPr>
            <w:tcW w:w="440" w:type="dxa"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Merge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9134EA" w:rsidRDefault="00F67B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Кредитні ризики</w:t>
            </w: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 w:rsidTr="00D84436">
        <w:trPr>
          <w:trHeight w:val="271"/>
        </w:trPr>
        <w:tc>
          <w:tcPr>
            <w:tcW w:w="440" w:type="dxa"/>
            <w:vAlign w:val="bottom"/>
          </w:tcPr>
          <w:p w:rsidR="009134EA" w:rsidRDefault="009134EA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Merge/>
            <w:vAlign w:val="bottom"/>
          </w:tcPr>
          <w:p w:rsidR="009134EA" w:rsidRDefault="009134E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Merge/>
            <w:vAlign w:val="bottom"/>
          </w:tcPr>
          <w:p w:rsidR="009134EA" w:rsidRDefault="009134EA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vMerge w:val="restart"/>
            <w:vAlign w:val="bottom"/>
          </w:tcPr>
          <w:p w:rsidR="009134EA" w:rsidRDefault="00F67B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Валютні ризики</w:t>
            </w: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9134EA" w:rsidRDefault="009134EA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vMerge w:val="restart"/>
            <w:vAlign w:val="bottom"/>
          </w:tcPr>
          <w:p w:rsidR="009134EA" w:rsidRDefault="00F67BF6">
            <w:pPr>
              <w:ind w:right="83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Фінансова стійкість</w:t>
            </w:r>
          </w:p>
        </w:tc>
        <w:tc>
          <w:tcPr>
            <w:tcW w:w="2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 w:rsidTr="00D84436">
        <w:trPr>
          <w:trHeight w:val="106"/>
        </w:trPr>
        <w:tc>
          <w:tcPr>
            <w:tcW w:w="440" w:type="dxa"/>
            <w:vAlign w:val="bottom"/>
          </w:tcPr>
          <w:p w:rsidR="009134EA" w:rsidRDefault="009134EA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9134EA" w:rsidRDefault="009134E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Merge w:val="restart"/>
            <w:textDirection w:val="btLr"/>
            <w:vAlign w:val="bottom"/>
          </w:tcPr>
          <w:p w:rsidR="009134EA" w:rsidRDefault="00F67BF6">
            <w:pPr>
              <w:ind w:left="296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Фінансова</w:t>
            </w:r>
          </w:p>
        </w:tc>
        <w:tc>
          <w:tcPr>
            <w:tcW w:w="2500" w:type="dxa"/>
            <w:vMerge/>
            <w:vAlign w:val="bottom"/>
          </w:tcPr>
          <w:p w:rsidR="009134EA" w:rsidRDefault="009134EA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gridSpan w:val="2"/>
            <w:vMerge w:val="restart"/>
            <w:vAlign w:val="bottom"/>
          </w:tcPr>
          <w:p w:rsidR="009134EA" w:rsidRDefault="00F67BF6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Ризиковість</w:t>
            </w:r>
          </w:p>
        </w:tc>
        <w:tc>
          <w:tcPr>
            <w:tcW w:w="2740" w:type="dxa"/>
            <w:vMerge/>
            <w:vAlign w:val="bottom"/>
          </w:tcPr>
          <w:p w:rsidR="009134EA" w:rsidRDefault="009134E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 w:rsidTr="00D84436">
        <w:trPr>
          <w:trHeight w:val="42"/>
        </w:trPr>
        <w:tc>
          <w:tcPr>
            <w:tcW w:w="440" w:type="dxa"/>
            <w:vAlign w:val="bottom"/>
          </w:tcPr>
          <w:p w:rsidR="009134EA" w:rsidRDefault="009134EA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9134EA" w:rsidRDefault="009134E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vMerge/>
            <w:vAlign w:val="bottom"/>
          </w:tcPr>
          <w:p w:rsidR="009134EA" w:rsidRDefault="009134EA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vAlign w:val="bottom"/>
          </w:tcPr>
          <w:p w:rsidR="009134EA" w:rsidRDefault="009134EA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gridSpan w:val="2"/>
            <w:vMerge/>
            <w:vAlign w:val="bottom"/>
          </w:tcPr>
          <w:p w:rsidR="009134EA" w:rsidRDefault="009134EA">
            <w:pPr>
              <w:rPr>
                <w:sz w:val="3"/>
                <w:szCs w:val="3"/>
              </w:rPr>
            </w:pPr>
          </w:p>
        </w:tc>
        <w:tc>
          <w:tcPr>
            <w:tcW w:w="2740" w:type="dxa"/>
            <w:vMerge/>
            <w:vAlign w:val="bottom"/>
          </w:tcPr>
          <w:p w:rsidR="009134EA" w:rsidRDefault="009134E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 w:rsidTr="00D84436">
        <w:trPr>
          <w:trHeight w:val="210"/>
        </w:trPr>
        <w:tc>
          <w:tcPr>
            <w:tcW w:w="440" w:type="dxa"/>
            <w:vAlign w:val="bottom"/>
          </w:tcPr>
          <w:p w:rsidR="009134EA" w:rsidRDefault="009134E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9134EA" w:rsidRDefault="009134EA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bottom"/>
          </w:tcPr>
          <w:p w:rsidR="009134EA" w:rsidRDefault="009134EA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vMerge w:val="restart"/>
            <w:vAlign w:val="bottom"/>
          </w:tcPr>
          <w:p w:rsidR="009134EA" w:rsidRDefault="00F67B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Ризик контрагента</w:t>
            </w:r>
          </w:p>
        </w:tc>
        <w:tc>
          <w:tcPr>
            <w:tcW w:w="1360" w:type="dxa"/>
            <w:gridSpan w:val="2"/>
            <w:vMerge/>
            <w:vAlign w:val="bottom"/>
          </w:tcPr>
          <w:p w:rsidR="009134EA" w:rsidRDefault="009134EA">
            <w:pPr>
              <w:rPr>
                <w:sz w:val="18"/>
                <w:szCs w:val="18"/>
              </w:rPr>
            </w:pPr>
          </w:p>
        </w:tc>
        <w:tc>
          <w:tcPr>
            <w:tcW w:w="2740" w:type="dxa"/>
            <w:vAlign w:val="bottom"/>
          </w:tcPr>
          <w:p w:rsidR="009134EA" w:rsidRDefault="00F67BF6">
            <w:pPr>
              <w:ind w:right="83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банківської системи</w:t>
            </w:r>
          </w:p>
        </w:tc>
        <w:tc>
          <w:tcPr>
            <w:tcW w:w="2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 w:rsidTr="00D84436">
        <w:trPr>
          <w:trHeight w:val="125"/>
        </w:trPr>
        <w:tc>
          <w:tcPr>
            <w:tcW w:w="440" w:type="dxa"/>
            <w:vAlign w:val="bottom"/>
          </w:tcPr>
          <w:p w:rsidR="009134EA" w:rsidRDefault="009134E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9134EA" w:rsidRDefault="009134E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Merge/>
            <w:vAlign w:val="bottom"/>
          </w:tcPr>
          <w:p w:rsidR="009134EA" w:rsidRDefault="009134EA">
            <w:pPr>
              <w:rPr>
                <w:sz w:val="10"/>
                <w:szCs w:val="10"/>
              </w:rPr>
            </w:pPr>
          </w:p>
        </w:tc>
        <w:tc>
          <w:tcPr>
            <w:tcW w:w="2500" w:type="dxa"/>
            <w:vMerge/>
            <w:vAlign w:val="bottom"/>
          </w:tcPr>
          <w:p w:rsidR="009134EA" w:rsidRDefault="009134E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9134EA" w:rsidRDefault="009134EA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Align w:val="bottom"/>
          </w:tcPr>
          <w:p w:rsidR="009134EA" w:rsidRDefault="009134EA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 w:rsidTr="00D84436">
        <w:trPr>
          <w:trHeight w:val="269"/>
        </w:trPr>
        <w:tc>
          <w:tcPr>
            <w:tcW w:w="440" w:type="dxa"/>
            <w:vAlign w:val="bottom"/>
          </w:tcPr>
          <w:p w:rsidR="009134EA" w:rsidRDefault="009134EA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9134EA" w:rsidRDefault="009134E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Merge/>
            <w:vAlign w:val="bottom"/>
          </w:tcPr>
          <w:p w:rsidR="009134EA" w:rsidRDefault="009134EA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vMerge w:val="restart"/>
            <w:vAlign w:val="bottom"/>
          </w:tcPr>
          <w:p w:rsidR="009134EA" w:rsidRDefault="00F67B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Рентабельність</w:t>
            </w: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9134EA" w:rsidRDefault="009134EA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vAlign w:val="bottom"/>
          </w:tcPr>
          <w:p w:rsidR="009134EA" w:rsidRDefault="009134E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 w:rsidTr="00D84436">
        <w:trPr>
          <w:trHeight w:val="108"/>
        </w:trPr>
        <w:tc>
          <w:tcPr>
            <w:tcW w:w="440" w:type="dxa"/>
            <w:vAlign w:val="bottom"/>
          </w:tcPr>
          <w:p w:rsidR="009134EA" w:rsidRDefault="009134EA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9134EA" w:rsidRDefault="009134E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vMerge/>
            <w:vAlign w:val="bottom"/>
          </w:tcPr>
          <w:p w:rsidR="009134EA" w:rsidRDefault="009134E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Align w:val="bottom"/>
          </w:tcPr>
          <w:p w:rsidR="009134EA" w:rsidRDefault="009134EA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vMerge w:val="restart"/>
            <w:vAlign w:val="bottom"/>
          </w:tcPr>
          <w:p w:rsidR="009134EA" w:rsidRDefault="00F67BF6">
            <w:pPr>
              <w:ind w:right="83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Концентрація капіталу</w:t>
            </w:r>
          </w:p>
        </w:tc>
        <w:tc>
          <w:tcPr>
            <w:tcW w:w="2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 w:rsidTr="00D84436">
        <w:trPr>
          <w:trHeight w:val="157"/>
        </w:trPr>
        <w:tc>
          <w:tcPr>
            <w:tcW w:w="440" w:type="dxa"/>
            <w:vAlign w:val="bottom"/>
          </w:tcPr>
          <w:p w:rsidR="009134EA" w:rsidRDefault="009134EA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9134EA" w:rsidRDefault="009134EA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Align w:val="bottom"/>
          </w:tcPr>
          <w:p w:rsidR="009134EA" w:rsidRDefault="009134EA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9134EA" w:rsidRDefault="009134EA">
            <w:pPr>
              <w:rPr>
                <w:sz w:val="13"/>
                <w:szCs w:val="13"/>
              </w:rPr>
            </w:pPr>
          </w:p>
        </w:tc>
        <w:tc>
          <w:tcPr>
            <w:tcW w:w="2740" w:type="dxa"/>
            <w:vMerge/>
            <w:vAlign w:val="bottom"/>
          </w:tcPr>
          <w:p w:rsidR="009134EA" w:rsidRDefault="009134E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 w:rsidTr="00D84436">
        <w:trPr>
          <w:trHeight w:val="190"/>
        </w:trPr>
        <w:tc>
          <w:tcPr>
            <w:tcW w:w="440" w:type="dxa"/>
            <w:vAlign w:val="bottom"/>
          </w:tcPr>
          <w:p w:rsidR="009134EA" w:rsidRDefault="009134EA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9134EA" w:rsidRDefault="009134EA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vAlign w:val="bottom"/>
          </w:tcPr>
          <w:p w:rsidR="009134EA" w:rsidRDefault="00F67B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Прибуток</w:t>
            </w:r>
          </w:p>
        </w:tc>
        <w:tc>
          <w:tcPr>
            <w:tcW w:w="1360" w:type="dxa"/>
            <w:gridSpan w:val="2"/>
            <w:vAlign w:val="bottom"/>
          </w:tcPr>
          <w:p w:rsidR="009134EA" w:rsidRDefault="00F67BF6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Прибутковість</w:t>
            </w:r>
          </w:p>
        </w:tc>
        <w:tc>
          <w:tcPr>
            <w:tcW w:w="2740" w:type="dxa"/>
            <w:vAlign w:val="bottom"/>
          </w:tcPr>
          <w:p w:rsidR="009134EA" w:rsidRDefault="00F67BF6">
            <w:pPr>
              <w:ind w:right="81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загалом по банківській</w:t>
            </w:r>
          </w:p>
        </w:tc>
        <w:tc>
          <w:tcPr>
            <w:tcW w:w="2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 w:rsidTr="00D84436">
        <w:trPr>
          <w:trHeight w:val="210"/>
        </w:trPr>
        <w:tc>
          <w:tcPr>
            <w:tcW w:w="440" w:type="dxa"/>
            <w:vMerge w:val="restart"/>
            <w:textDirection w:val="btLr"/>
            <w:vAlign w:val="bottom"/>
          </w:tcPr>
          <w:p w:rsidR="009134EA" w:rsidRDefault="00F67BF6">
            <w:pPr>
              <w:ind w:left="172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Принципи вибору показників</w:t>
            </w:r>
          </w:p>
        </w:tc>
        <w:tc>
          <w:tcPr>
            <w:tcW w:w="400" w:type="dxa"/>
            <w:vAlign w:val="bottom"/>
          </w:tcPr>
          <w:p w:rsidR="009134EA" w:rsidRDefault="009134EA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vAlign w:val="bottom"/>
          </w:tcPr>
          <w:p w:rsidR="009134EA" w:rsidRDefault="009134EA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9134EA" w:rsidRDefault="009134EA">
            <w:pPr>
              <w:rPr>
                <w:sz w:val="18"/>
                <w:szCs w:val="18"/>
              </w:rPr>
            </w:pPr>
          </w:p>
        </w:tc>
        <w:tc>
          <w:tcPr>
            <w:tcW w:w="2740" w:type="dxa"/>
            <w:vAlign w:val="bottom"/>
          </w:tcPr>
          <w:p w:rsidR="009134EA" w:rsidRDefault="00F67BF6">
            <w:pPr>
              <w:ind w:right="133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системі</w:t>
            </w:r>
          </w:p>
        </w:tc>
        <w:tc>
          <w:tcPr>
            <w:tcW w:w="2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 w:rsidTr="00D84436">
        <w:trPr>
          <w:trHeight w:val="373"/>
        </w:trPr>
        <w:tc>
          <w:tcPr>
            <w:tcW w:w="440" w:type="dxa"/>
            <w:vMerge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Merge w:val="restart"/>
            <w:textDirection w:val="btLr"/>
            <w:vAlign w:val="bottom"/>
          </w:tcPr>
          <w:p w:rsidR="009134EA" w:rsidRDefault="00F67BF6">
            <w:pPr>
              <w:ind w:left="158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Прогнозованості</w:t>
            </w:r>
          </w:p>
        </w:tc>
        <w:tc>
          <w:tcPr>
            <w:tcW w:w="3460" w:type="dxa"/>
            <w:gridSpan w:val="3"/>
            <w:vAlign w:val="bottom"/>
          </w:tcPr>
          <w:p w:rsidR="009134EA" w:rsidRDefault="00F67BF6">
            <w:pPr>
              <w:ind w:left="5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2. Показники, що характеризують вплив</w:t>
            </w:r>
          </w:p>
        </w:tc>
        <w:tc>
          <w:tcPr>
            <w:tcW w:w="3620" w:type="dxa"/>
            <w:gridSpan w:val="2"/>
            <w:vMerge w:val="restart"/>
            <w:vAlign w:val="bottom"/>
          </w:tcPr>
          <w:p w:rsidR="009134EA" w:rsidRDefault="00F67BF6">
            <w:pPr>
              <w:ind w:right="49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Концентрація капіталу іноземних</w:t>
            </w:r>
          </w:p>
        </w:tc>
        <w:tc>
          <w:tcPr>
            <w:tcW w:w="2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 w:rsidTr="00D84436">
        <w:trPr>
          <w:trHeight w:val="173"/>
        </w:trPr>
        <w:tc>
          <w:tcPr>
            <w:tcW w:w="440" w:type="dxa"/>
            <w:vMerge/>
            <w:vAlign w:val="bottom"/>
          </w:tcPr>
          <w:p w:rsidR="009134EA" w:rsidRDefault="009134EA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Merge/>
            <w:vAlign w:val="bottom"/>
          </w:tcPr>
          <w:p w:rsidR="009134EA" w:rsidRDefault="009134EA">
            <w:pPr>
              <w:rPr>
                <w:sz w:val="15"/>
                <w:szCs w:val="15"/>
              </w:rPr>
            </w:pPr>
          </w:p>
        </w:tc>
        <w:tc>
          <w:tcPr>
            <w:tcW w:w="3460" w:type="dxa"/>
            <w:gridSpan w:val="3"/>
            <w:vAlign w:val="bottom"/>
          </w:tcPr>
          <w:p w:rsidR="009134EA" w:rsidRDefault="00F67BF6">
            <w:pPr>
              <w:spacing w:line="173" w:lineRule="exact"/>
              <w:ind w:left="5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зовнішніх факторів на діяльність банків</w:t>
            </w:r>
          </w:p>
        </w:tc>
        <w:tc>
          <w:tcPr>
            <w:tcW w:w="3620" w:type="dxa"/>
            <w:gridSpan w:val="2"/>
            <w:vMerge/>
            <w:vAlign w:val="bottom"/>
          </w:tcPr>
          <w:p w:rsidR="009134EA" w:rsidRDefault="009134EA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 w:rsidTr="00D84436">
        <w:trPr>
          <w:trHeight w:val="210"/>
        </w:trPr>
        <w:tc>
          <w:tcPr>
            <w:tcW w:w="440" w:type="dxa"/>
            <w:vMerge/>
            <w:vAlign w:val="bottom"/>
          </w:tcPr>
          <w:p w:rsidR="009134EA" w:rsidRDefault="009134E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Merge/>
            <w:vAlign w:val="bottom"/>
          </w:tcPr>
          <w:p w:rsidR="009134EA" w:rsidRDefault="009134EA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vAlign w:val="bottom"/>
          </w:tcPr>
          <w:p w:rsidR="009134EA" w:rsidRDefault="009134EA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9134EA" w:rsidRDefault="009134EA">
            <w:pPr>
              <w:rPr>
                <w:sz w:val="18"/>
                <w:szCs w:val="18"/>
              </w:rPr>
            </w:pPr>
          </w:p>
        </w:tc>
        <w:tc>
          <w:tcPr>
            <w:tcW w:w="2740" w:type="dxa"/>
            <w:vAlign w:val="bottom"/>
          </w:tcPr>
          <w:p w:rsidR="009134EA" w:rsidRDefault="00F67BF6">
            <w:pPr>
              <w:ind w:right="139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6"/>
                <w:szCs w:val="16"/>
              </w:rPr>
              <w:t>банків</w:t>
            </w:r>
          </w:p>
        </w:tc>
        <w:tc>
          <w:tcPr>
            <w:tcW w:w="2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 w:rsidTr="00D84436">
        <w:trPr>
          <w:trHeight w:val="382"/>
        </w:trPr>
        <w:tc>
          <w:tcPr>
            <w:tcW w:w="440" w:type="dxa"/>
            <w:vMerge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Merge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9134EA" w:rsidRDefault="00F67BF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Монетарні індикатори</w:t>
            </w: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vMerge w:val="restart"/>
            <w:vAlign w:val="bottom"/>
          </w:tcPr>
          <w:p w:rsidR="009134EA" w:rsidRDefault="00F67BF6">
            <w:pPr>
              <w:ind w:right="2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2. Показники, що відображають стан</w:t>
            </w:r>
          </w:p>
        </w:tc>
        <w:tc>
          <w:tcPr>
            <w:tcW w:w="2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 w:rsidTr="00D84436">
        <w:trPr>
          <w:trHeight w:val="176"/>
        </w:trPr>
        <w:tc>
          <w:tcPr>
            <w:tcW w:w="440" w:type="dxa"/>
            <w:vMerge/>
            <w:vAlign w:val="bottom"/>
          </w:tcPr>
          <w:p w:rsidR="009134EA" w:rsidRDefault="009134EA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Merge/>
            <w:vAlign w:val="bottom"/>
          </w:tcPr>
          <w:p w:rsidR="009134EA" w:rsidRDefault="009134EA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15"/>
                <w:szCs w:val="15"/>
              </w:rPr>
            </w:pPr>
          </w:p>
        </w:tc>
        <w:tc>
          <w:tcPr>
            <w:tcW w:w="2500" w:type="dxa"/>
            <w:vMerge w:val="restart"/>
            <w:vAlign w:val="bottom"/>
          </w:tcPr>
          <w:p w:rsidR="009134EA" w:rsidRDefault="00F67BF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Валютний курс</w:t>
            </w: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15"/>
                <w:szCs w:val="15"/>
              </w:rPr>
            </w:pPr>
          </w:p>
        </w:tc>
        <w:tc>
          <w:tcPr>
            <w:tcW w:w="3620" w:type="dxa"/>
            <w:gridSpan w:val="2"/>
            <w:vMerge/>
            <w:vAlign w:val="bottom"/>
          </w:tcPr>
          <w:p w:rsidR="009134EA" w:rsidRDefault="009134EA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 w:rsidTr="00D84436">
        <w:trPr>
          <w:trHeight w:val="161"/>
        </w:trPr>
        <w:tc>
          <w:tcPr>
            <w:tcW w:w="440" w:type="dxa"/>
            <w:vMerge/>
            <w:vAlign w:val="bottom"/>
          </w:tcPr>
          <w:p w:rsidR="009134EA" w:rsidRDefault="009134EA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Merge/>
            <w:vAlign w:val="bottom"/>
          </w:tcPr>
          <w:p w:rsidR="009134EA" w:rsidRDefault="009134EA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/>
            <w:vAlign w:val="bottom"/>
          </w:tcPr>
          <w:p w:rsidR="009134EA" w:rsidRDefault="009134EA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13"/>
                <w:szCs w:val="13"/>
              </w:rPr>
            </w:pPr>
          </w:p>
        </w:tc>
        <w:tc>
          <w:tcPr>
            <w:tcW w:w="3620" w:type="dxa"/>
            <w:gridSpan w:val="2"/>
            <w:vAlign w:val="bottom"/>
          </w:tcPr>
          <w:p w:rsidR="009134EA" w:rsidRDefault="00F67BF6">
            <w:pPr>
              <w:spacing w:line="161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економіки та грошово-кредитного ринку</w:t>
            </w:r>
          </w:p>
        </w:tc>
        <w:tc>
          <w:tcPr>
            <w:tcW w:w="2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 w:rsidTr="00D84436">
        <w:trPr>
          <w:trHeight w:val="396"/>
        </w:trPr>
        <w:tc>
          <w:tcPr>
            <w:tcW w:w="440" w:type="dxa"/>
            <w:vMerge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Merge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9134EA" w:rsidRDefault="00F67BF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Інфляція</w:t>
            </w: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vMerge w:val="restart"/>
            <w:vAlign w:val="bottom"/>
          </w:tcPr>
          <w:p w:rsidR="009134EA" w:rsidRDefault="00F67BF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ВВП/ділова активність</w:t>
            </w:r>
          </w:p>
        </w:tc>
        <w:tc>
          <w:tcPr>
            <w:tcW w:w="2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 w:rsidTr="00D84436">
        <w:trPr>
          <w:trHeight w:val="54"/>
        </w:trPr>
        <w:tc>
          <w:tcPr>
            <w:tcW w:w="440" w:type="dxa"/>
            <w:vMerge/>
            <w:vAlign w:val="bottom"/>
          </w:tcPr>
          <w:p w:rsidR="009134EA" w:rsidRDefault="009134EA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vMerge/>
            <w:vAlign w:val="bottom"/>
          </w:tcPr>
          <w:p w:rsidR="009134EA" w:rsidRDefault="009134EA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4"/>
                <w:szCs w:val="4"/>
              </w:rPr>
            </w:pPr>
          </w:p>
        </w:tc>
        <w:tc>
          <w:tcPr>
            <w:tcW w:w="2500" w:type="dxa"/>
            <w:vAlign w:val="bottom"/>
          </w:tcPr>
          <w:p w:rsidR="009134EA" w:rsidRDefault="009134EA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4"/>
                <w:szCs w:val="4"/>
              </w:rPr>
            </w:pPr>
          </w:p>
        </w:tc>
        <w:tc>
          <w:tcPr>
            <w:tcW w:w="3620" w:type="dxa"/>
            <w:gridSpan w:val="2"/>
            <w:vMerge/>
            <w:vAlign w:val="bottom"/>
          </w:tcPr>
          <w:p w:rsidR="009134EA" w:rsidRDefault="009134E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 w:rsidTr="00D84436">
        <w:trPr>
          <w:trHeight w:val="156"/>
        </w:trPr>
        <w:tc>
          <w:tcPr>
            <w:tcW w:w="440" w:type="dxa"/>
            <w:vAlign w:val="bottom"/>
          </w:tcPr>
          <w:p w:rsidR="009134EA" w:rsidRDefault="009134EA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9134EA" w:rsidRDefault="009134EA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vAlign w:val="bottom"/>
          </w:tcPr>
          <w:p w:rsidR="009134EA" w:rsidRDefault="00F67BF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ВВП</w:t>
            </w: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13"/>
                <w:szCs w:val="13"/>
              </w:rPr>
            </w:pPr>
          </w:p>
        </w:tc>
        <w:tc>
          <w:tcPr>
            <w:tcW w:w="3620" w:type="dxa"/>
            <w:gridSpan w:val="2"/>
            <w:vMerge/>
            <w:vAlign w:val="bottom"/>
          </w:tcPr>
          <w:p w:rsidR="009134EA" w:rsidRDefault="009134E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 w:rsidTr="00D84436">
        <w:trPr>
          <w:trHeight w:val="187"/>
        </w:trPr>
        <w:tc>
          <w:tcPr>
            <w:tcW w:w="440" w:type="dxa"/>
            <w:vAlign w:val="bottom"/>
          </w:tcPr>
          <w:p w:rsidR="009134EA" w:rsidRDefault="009134EA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9134EA" w:rsidRDefault="009134EA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vMerge/>
            <w:vAlign w:val="bottom"/>
          </w:tcPr>
          <w:p w:rsidR="009134EA" w:rsidRDefault="009134EA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16"/>
                <w:szCs w:val="16"/>
              </w:rPr>
            </w:pPr>
          </w:p>
        </w:tc>
        <w:tc>
          <w:tcPr>
            <w:tcW w:w="3620" w:type="dxa"/>
            <w:gridSpan w:val="2"/>
            <w:vMerge w:val="restart"/>
            <w:vAlign w:val="bottom"/>
          </w:tcPr>
          <w:p w:rsidR="009134EA" w:rsidRDefault="00F67BF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Валютний курс</w:t>
            </w:r>
          </w:p>
        </w:tc>
        <w:tc>
          <w:tcPr>
            <w:tcW w:w="2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 w:rsidTr="00D84436">
        <w:trPr>
          <w:trHeight w:val="190"/>
        </w:trPr>
        <w:tc>
          <w:tcPr>
            <w:tcW w:w="440" w:type="dxa"/>
            <w:vAlign w:val="bottom"/>
          </w:tcPr>
          <w:p w:rsidR="009134EA" w:rsidRDefault="009134EA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9134EA" w:rsidRDefault="009134EA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vAlign w:val="bottom"/>
          </w:tcPr>
          <w:p w:rsidR="009134EA" w:rsidRDefault="009134EA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16"/>
                <w:szCs w:val="16"/>
              </w:rPr>
            </w:pPr>
          </w:p>
        </w:tc>
        <w:tc>
          <w:tcPr>
            <w:tcW w:w="3620" w:type="dxa"/>
            <w:gridSpan w:val="2"/>
            <w:vMerge/>
            <w:vAlign w:val="bottom"/>
          </w:tcPr>
          <w:p w:rsidR="009134EA" w:rsidRDefault="009134EA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 w:rsidTr="00D84436">
        <w:trPr>
          <w:trHeight w:val="374"/>
        </w:trPr>
        <w:tc>
          <w:tcPr>
            <w:tcW w:w="440" w:type="dxa"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9134EA" w:rsidRDefault="00F67BF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16"/>
                <w:szCs w:val="16"/>
              </w:rPr>
              <w:t>Інфляція</w:t>
            </w:r>
          </w:p>
        </w:tc>
        <w:tc>
          <w:tcPr>
            <w:tcW w:w="2740" w:type="dxa"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 w:rsidTr="00D84436">
        <w:trPr>
          <w:trHeight w:val="379"/>
        </w:trPr>
        <w:tc>
          <w:tcPr>
            <w:tcW w:w="440" w:type="dxa"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vAlign w:val="bottom"/>
          </w:tcPr>
          <w:p w:rsidR="009134EA" w:rsidRDefault="00F67BF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Частка готівки у грошовій масі</w:t>
            </w:r>
          </w:p>
        </w:tc>
        <w:tc>
          <w:tcPr>
            <w:tcW w:w="2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 w:rsidTr="00D84436">
        <w:trPr>
          <w:trHeight w:val="377"/>
        </w:trPr>
        <w:tc>
          <w:tcPr>
            <w:tcW w:w="440" w:type="dxa"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Merge w:val="restart"/>
            <w:textDirection w:val="btLr"/>
            <w:vAlign w:val="bottom"/>
          </w:tcPr>
          <w:p w:rsidR="009134EA" w:rsidRDefault="00F67BF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Вимірності</w:t>
            </w: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vAlign w:val="bottom"/>
          </w:tcPr>
          <w:p w:rsidR="009134EA" w:rsidRDefault="00F67BF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Обсяг готівкової іноземної валюти</w:t>
            </w:r>
          </w:p>
        </w:tc>
        <w:tc>
          <w:tcPr>
            <w:tcW w:w="2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 w:rsidTr="00D84436">
        <w:trPr>
          <w:trHeight w:val="377"/>
        </w:trPr>
        <w:tc>
          <w:tcPr>
            <w:tcW w:w="440" w:type="dxa"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Merge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vAlign w:val="bottom"/>
          </w:tcPr>
          <w:p w:rsidR="009134EA" w:rsidRDefault="00F67BF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Доларизація М2</w:t>
            </w:r>
          </w:p>
        </w:tc>
        <w:tc>
          <w:tcPr>
            <w:tcW w:w="2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 w:rsidTr="00D84436">
        <w:trPr>
          <w:trHeight w:val="154"/>
        </w:trPr>
        <w:tc>
          <w:tcPr>
            <w:tcW w:w="440" w:type="dxa"/>
            <w:vAlign w:val="bottom"/>
          </w:tcPr>
          <w:p w:rsidR="009134EA" w:rsidRDefault="009134EA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Merge/>
            <w:vAlign w:val="bottom"/>
          </w:tcPr>
          <w:p w:rsidR="009134EA" w:rsidRDefault="009134EA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Align w:val="bottom"/>
          </w:tcPr>
          <w:p w:rsidR="009134EA" w:rsidRDefault="009134EA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9134EA" w:rsidRDefault="009134EA">
            <w:pPr>
              <w:rPr>
                <w:sz w:val="13"/>
                <w:szCs w:val="13"/>
              </w:rPr>
            </w:pPr>
          </w:p>
        </w:tc>
        <w:tc>
          <w:tcPr>
            <w:tcW w:w="2740" w:type="dxa"/>
            <w:vAlign w:val="bottom"/>
          </w:tcPr>
          <w:p w:rsidR="009134EA" w:rsidRDefault="009134E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 w:rsidTr="00D84436">
        <w:trPr>
          <w:trHeight w:val="402"/>
        </w:trPr>
        <w:tc>
          <w:tcPr>
            <w:tcW w:w="440" w:type="dxa"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vAlign w:val="bottom"/>
          </w:tcPr>
          <w:p w:rsidR="009134EA" w:rsidRDefault="00F67BF6">
            <w:pPr>
              <w:ind w:right="2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3. Показники, що відображають вплив</w:t>
            </w:r>
          </w:p>
        </w:tc>
        <w:tc>
          <w:tcPr>
            <w:tcW w:w="2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  <w:tr w:rsidR="009134EA" w:rsidTr="00D84436">
        <w:trPr>
          <w:trHeight w:val="210"/>
        </w:trPr>
        <w:tc>
          <w:tcPr>
            <w:tcW w:w="440" w:type="dxa"/>
            <w:vAlign w:val="bottom"/>
          </w:tcPr>
          <w:p w:rsidR="009134EA" w:rsidRDefault="009134E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9134EA" w:rsidRDefault="009134EA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vAlign w:val="bottom"/>
          </w:tcPr>
          <w:p w:rsidR="009134EA" w:rsidRDefault="009134EA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9134EA" w:rsidRDefault="009134EA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9134EA" w:rsidRDefault="009134EA">
            <w:pPr>
              <w:rPr>
                <w:sz w:val="18"/>
                <w:szCs w:val="18"/>
              </w:rPr>
            </w:pPr>
          </w:p>
        </w:tc>
        <w:tc>
          <w:tcPr>
            <w:tcW w:w="2740" w:type="dxa"/>
            <w:vAlign w:val="bottom"/>
          </w:tcPr>
          <w:p w:rsidR="009134EA" w:rsidRDefault="00F67BF6">
            <w:pPr>
              <w:ind w:right="11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зовнішніх факторів</w:t>
            </w:r>
          </w:p>
        </w:tc>
        <w:tc>
          <w:tcPr>
            <w:tcW w:w="20" w:type="dxa"/>
            <w:vAlign w:val="bottom"/>
          </w:tcPr>
          <w:p w:rsidR="009134EA" w:rsidRDefault="009134EA">
            <w:pPr>
              <w:rPr>
                <w:sz w:val="1"/>
                <w:szCs w:val="1"/>
              </w:rPr>
            </w:pPr>
          </w:p>
        </w:tc>
      </w:tr>
    </w:tbl>
    <w:p w:rsidR="009134EA" w:rsidRDefault="00F67BF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-6811645</wp:posOffset>
            </wp:positionV>
            <wp:extent cx="5040630" cy="7269480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7269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34EA" w:rsidRDefault="009134EA">
      <w:pPr>
        <w:spacing w:line="322" w:lineRule="exact"/>
        <w:rPr>
          <w:sz w:val="20"/>
          <w:szCs w:val="20"/>
        </w:rPr>
      </w:pPr>
    </w:p>
    <w:p w:rsidR="009134EA" w:rsidRDefault="00F67BF6">
      <w:pPr>
        <w:ind w:left="46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Кредитно-дефолтний своп</w:t>
      </w:r>
    </w:p>
    <w:p w:rsidR="009134EA" w:rsidRDefault="009134EA">
      <w:pPr>
        <w:spacing w:line="311" w:lineRule="exact"/>
        <w:rPr>
          <w:sz w:val="20"/>
          <w:szCs w:val="20"/>
        </w:rPr>
      </w:pPr>
    </w:p>
    <w:p w:rsidR="009134EA" w:rsidRDefault="00F67BF6">
      <w:pPr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lastRenderedPageBreak/>
        <w:t>Рис. 1. Система вибору показників оцінки фінансової безпеки</w:t>
      </w:r>
    </w:p>
    <w:p w:rsidR="009134EA" w:rsidRDefault="009134EA">
      <w:pPr>
        <w:spacing w:line="13" w:lineRule="exact"/>
        <w:rPr>
          <w:sz w:val="20"/>
          <w:szCs w:val="20"/>
        </w:rPr>
      </w:pPr>
    </w:p>
    <w:p w:rsidR="009134EA" w:rsidRDefault="00F67BF6">
      <w:pPr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банків і банківської системи</w:t>
      </w:r>
    </w:p>
    <w:p w:rsidR="009134EA" w:rsidRDefault="009134EA">
      <w:pPr>
        <w:spacing w:line="13" w:lineRule="exact"/>
        <w:rPr>
          <w:sz w:val="20"/>
          <w:szCs w:val="20"/>
        </w:rPr>
      </w:pPr>
    </w:p>
    <w:p w:rsidR="009134EA" w:rsidRDefault="009134EA">
      <w:pPr>
        <w:sectPr w:rsidR="009134EA">
          <w:type w:val="continuous"/>
          <w:pgSz w:w="9640" w:h="14173"/>
          <w:pgMar w:top="557" w:right="858" w:bottom="5" w:left="860" w:header="0" w:footer="0" w:gutter="0"/>
          <w:cols w:space="720" w:equalWidth="0">
            <w:col w:w="7920"/>
          </w:cols>
        </w:sectPr>
      </w:pPr>
    </w:p>
    <w:p w:rsidR="009134EA" w:rsidRDefault="009134EA">
      <w:pPr>
        <w:spacing w:line="314" w:lineRule="exact"/>
        <w:rPr>
          <w:sz w:val="20"/>
          <w:szCs w:val="20"/>
          <w:lang w:val="uk-UA"/>
        </w:rPr>
      </w:pPr>
    </w:p>
    <w:p w:rsidR="00933E0E" w:rsidRPr="00933E0E" w:rsidRDefault="00933E0E">
      <w:pPr>
        <w:spacing w:line="314" w:lineRule="exact"/>
        <w:rPr>
          <w:sz w:val="20"/>
          <w:szCs w:val="20"/>
          <w:lang w:val="uk-UA"/>
        </w:rPr>
      </w:pPr>
    </w:p>
    <w:p w:rsidR="009134EA" w:rsidRDefault="00F67BF6">
      <w:pPr>
        <w:spacing w:line="221" w:lineRule="auto"/>
        <w:ind w:left="10" w:right="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себе не </w:t>
      </w:r>
      <w:proofErr w:type="spellStart"/>
      <w:r>
        <w:rPr>
          <w:rFonts w:eastAsia="Times New Roman"/>
          <w:sz w:val="20"/>
          <w:szCs w:val="20"/>
        </w:rPr>
        <w:t>тільки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військові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дії</w:t>
      </w:r>
      <w:proofErr w:type="spellEnd"/>
      <w:r>
        <w:rPr>
          <w:rFonts w:eastAsia="Times New Roman"/>
          <w:sz w:val="20"/>
          <w:szCs w:val="20"/>
        </w:rPr>
        <w:t xml:space="preserve">, а й </w:t>
      </w:r>
      <w:proofErr w:type="gramStart"/>
      <w:r>
        <w:rPr>
          <w:rFonts w:eastAsia="Times New Roman"/>
          <w:sz w:val="20"/>
          <w:szCs w:val="20"/>
        </w:rPr>
        <w:t>п</w:t>
      </w:r>
      <w:proofErr w:type="gramEnd"/>
      <w:r>
        <w:rPr>
          <w:rFonts w:eastAsia="Times New Roman"/>
          <w:sz w:val="20"/>
          <w:szCs w:val="20"/>
        </w:rPr>
        <w:t>ідрив фінансової безпеки держави за рахунок присутності іноземного банківського капіталу.</w:t>
      </w:r>
    </w:p>
    <w:p w:rsidR="006A5DC9" w:rsidRDefault="00F67BF6">
      <w:pPr>
        <w:spacing w:line="221" w:lineRule="auto"/>
        <w:ind w:left="10" w:right="20" w:firstLine="283"/>
        <w:jc w:val="both"/>
        <w:rPr>
          <w:rFonts w:eastAsia="Times New Roman"/>
          <w:sz w:val="20"/>
          <w:szCs w:val="20"/>
          <w:lang w:val="uk-UA"/>
        </w:rPr>
      </w:pPr>
      <w:proofErr w:type="spellStart"/>
      <w:r>
        <w:rPr>
          <w:rFonts w:eastAsia="Times New Roman"/>
          <w:sz w:val="20"/>
          <w:szCs w:val="20"/>
        </w:rPr>
        <w:t>Виходячи</w:t>
      </w:r>
      <w:proofErr w:type="spellEnd"/>
      <w:r>
        <w:rPr>
          <w:rFonts w:eastAsia="Times New Roman"/>
          <w:sz w:val="20"/>
          <w:szCs w:val="20"/>
        </w:rPr>
        <w:t xml:space="preserve"> з </w:t>
      </w:r>
      <w:proofErr w:type="spellStart"/>
      <w:r>
        <w:rPr>
          <w:rFonts w:eastAsia="Times New Roman"/>
          <w:sz w:val="20"/>
          <w:szCs w:val="20"/>
        </w:rPr>
        <w:t>цих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позицій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серед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показників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які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характеризують</w:t>
      </w:r>
      <w:proofErr w:type="spellEnd"/>
      <w:r>
        <w:rPr>
          <w:rFonts w:eastAsia="Times New Roman"/>
          <w:sz w:val="20"/>
          <w:szCs w:val="20"/>
        </w:rPr>
        <w:t xml:space="preserve"> стан </w:t>
      </w:r>
      <w:proofErr w:type="spellStart"/>
      <w:r>
        <w:rPr>
          <w:rFonts w:eastAsia="Times New Roman"/>
          <w:sz w:val="20"/>
          <w:szCs w:val="20"/>
        </w:rPr>
        <w:t>фінансової</w:t>
      </w:r>
      <w:proofErr w:type="spellEnd"/>
      <w:r>
        <w:rPr>
          <w:rFonts w:eastAsia="Times New Roman"/>
          <w:sz w:val="20"/>
          <w:szCs w:val="20"/>
        </w:rPr>
        <w:t xml:space="preserve"> безпеки комерційних банків, варто виокремити ті показники, які відображають його фінансову </w:t>
      </w:r>
      <w:proofErr w:type="gramStart"/>
      <w:r>
        <w:rPr>
          <w:rFonts w:eastAsia="Times New Roman"/>
          <w:sz w:val="20"/>
          <w:szCs w:val="20"/>
        </w:rPr>
        <w:t>ст</w:t>
      </w:r>
      <w:proofErr w:type="gramEnd"/>
      <w:r>
        <w:rPr>
          <w:rFonts w:eastAsia="Times New Roman"/>
          <w:sz w:val="20"/>
          <w:szCs w:val="20"/>
        </w:rPr>
        <w:t xml:space="preserve">ійкість, зокрема: </w:t>
      </w:r>
    </w:p>
    <w:p w:rsidR="006A5DC9" w:rsidRPr="00431B51" w:rsidRDefault="00F67BF6" w:rsidP="00431B51">
      <w:pPr>
        <w:pStyle w:val="a4"/>
        <w:numPr>
          <w:ilvl w:val="0"/>
          <w:numId w:val="16"/>
        </w:numPr>
        <w:spacing w:line="221" w:lineRule="auto"/>
        <w:ind w:right="20"/>
        <w:jc w:val="both"/>
        <w:rPr>
          <w:rFonts w:eastAsia="Times New Roman"/>
          <w:sz w:val="20"/>
          <w:szCs w:val="20"/>
          <w:lang w:val="uk-UA"/>
        </w:rPr>
      </w:pPr>
      <w:proofErr w:type="spellStart"/>
      <w:r w:rsidRPr="00431B51">
        <w:rPr>
          <w:rFonts w:eastAsia="Times New Roman"/>
          <w:sz w:val="20"/>
          <w:szCs w:val="20"/>
        </w:rPr>
        <w:t>адекватність</w:t>
      </w:r>
      <w:proofErr w:type="spellEnd"/>
      <w:r w:rsidRPr="00431B51">
        <w:rPr>
          <w:rFonts w:eastAsia="Times New Roman"/>
          <w:sz w:val="20"/>
          <w:szCs w:val="20"/>
        </w:rPr>
        <w:t xml:space="preserve"> </w:t>
      </w:r>
      <w:proofErr w:type="gramStart"/>
      <w:r w:rsidRPr="00431B51">
        <w:rPr>
          <w:rFonts w:eastAsia="Times New Roman"/>
          <w:sz w:val="20"/>
          <w:szCs w:val="20"/>
        </w:rPr>
        <w:t>регулятивного</w:t>
      </w:r>
      <w:proofErr w:type="gramEnd"/>
      <w:r w:rsidRPr="00431B51">
        <w:rPr>
          <w:rFonts w:eastAsia="Times New Roman"/>
          <w:sz w:val="20"/>
          <w:szCs w:val="20"/>
        </w:rPr>
        <w:t xml:space="preserve"> </w:t>
      </w:r>
      <w:proofErr w:type="spellStart"/>
      <w:r w:rsidRPr="00431B51">
        <w:rPr>
          <w:rFonts w:eastAsia="Times New Roman"/>
          <w:sz w:val="20"/>
          <w:szCs w:val="20"/>
        </w:rPr>
        <w:t>капіталу</w:t>
      </w:r>
      <w:proofErr w:type="spellEnd"/>
      <w:r w:rsidRPr="00431B51">
        <w:rPr>
          <w:rFonts w:eastAsia="Times New Roman"/>
          <w:sz w:val="20"/>
          <w:szCs w:val="20"/>
        </w:rPr>
        <w:t xml:space="preserve">, </w:t>
      </w:r>
    </w:p>
    <w:p w:rsidR="006A5DC9" w:rsidRPr="00431B51" w:rsidRDefault="00F67BF6" w:rsidP="00431B51">
      <w:pPr>
        <w:pStyle w:val="a4"/>
        <w:numPr>
          <w:ilvl w:val="0"/>
          <w:numId w:val="16"/>
        </w:numPr>
        <w:spacing w:line="221" w:lineRule="auto"/>
        <w:ind w:right="20"/>
        <w:jc w:val="both"/>
        <w:rPr>
          <w:rFonts w:eastAsia="Times New Roman"/>
          <w:sz w:val="20"/>
          <w:szCs w:val="20"/>
          <w:lang w:val="uk-UA"/>
        </w:rPr>
      </w:pPr>
      <w:proofErr w:type="spellStart"/>
      <w:r w:rsidRPr="00431B51">
        <w:rPr>
          <w:rFonts w:eastAsia="Times New Roman"/>
          <w:sz w:val="20"/>
          <w:szCs w:val="20"/>
        </w:rPr>
        <w:t>показник</w:t>
      </w:r>
      <w:proofErr w:type="spellEnd"/>
      <w:r w:rsidRPr="00431B51">
        <w:rPr>
          <w:rFonts w:eastAsia="Times New Roman"/>
          <w:sz w:val="20"/>
          <w:szCs w:val="20"/>
        </w:rPr>
        <w:t xml:space="preserve"> </w:t>
      </w:r>
      <w:proofErr w:type="spellStart"/>
      <w:r w:rsidRPr="00431B51">
        <w:rPr>
          <w:rFonts w:eastAsia="Times New Roman"/>
          <w:sz w:val="20"/>
          <w:szCs w:val="20"/>
        </w:rPr>
        <w:t>базових</w:t>
      </w:r>
      <w:proofErr w:type="spellEnd"/>
      <w:r w:rsidRPr="00431B51">
        <w:rPr>
          <w:rFonts w:eastAsia="Times New Roman"/>
          <w:sz w:val="20"/>
          <w:szCs w:val="20"/>
        </w:rPr>
        <w:t xml:space="preserve"> </w:t>
      </w:r>
      <w:proofErr w:type="spellStart"/>
      <w:r w:rsidRPr="00431B51">
        <w:rPr>
          <w:rFonts w:eastAsia="Times New Roman"/>
          <w:sz w:val="20"/>
          <w:szCs w:val="20"/>
        </w:rPr>
        <w:t>ліквідних</w:t>
      </w:r>
      <w:proofErr w:type="spellEnd"/>
      <w:r w:rsidRPr="00431B51">
        <w:rPr>
          <w:rFonts w:eastAsia="Times New Roman"/>
          <w:sz w:val="20"/>
          <w:szCs w:val="20"/>
        </w:rPr>
        <w:t xml:space="preserve"> </w:t>
      </w:r>
      <w:proofErr w:type="spellStart"/>
      <w:r w:rsidRPr="00431B51">
        <w:rPr>
          <w:rFonts w:eastAsia="Times New Roman"/>
          <w:sz w:val="20"/>
          <w:szCs w:val="20"/>
        </w:rPr>
        <w:t>активів</w:t>
      </w:r>
      <w:proofErr w:type="spellEnd"/>
      <w:r w:rsidRPr="00431B51">
        <w:rPr>
          <w:rFonts w:eastAsia="Times New Roman"/>
          <w:sz w:val="20"/>
          <w:szCs w:val="20"/>
        </w:rPr>
        <w:t xml:space="preserve"> (включає активи з кінцевим</w:t>
      </w:r>
      <w:r w:rsidR="006A5DC9" w:rsidRPr="00431B51">
        <w:rPr>
          <w:rFonts w:eastAsia="Times New Roman"/>
          <w:sz w:val="20"/>
          <w:szCs w:val="20"/>
        </w:rPr>
        <w:t xml:space="preserve"> строком погашення до 31 дня)</w:t>
      </w:r>
      <w:r w:rsidR="006A5DC9" w:rsidRPr="00431B51">
        <w:rPr>
          <w:rFonts w:eastAsia="Times New Roman"/>
          <w:sz w:val="20"/>
          <w:szCs w:val="20"/>
          <w:lang w:val="uk-UA"/>
        </w:rPr>
        <w:t>,</w:t>
      </w:r>
    </w:p>
    <w:p w:rsidR="00431B51" w:rsidRPr="00431B51" w:rsidRDefault="00F67BF6" w:rsidP="00431B51">
      <w:pPr>
        <w:pStyle w:val="a4"/>
        <w:numPr>
          <w:ilvl w:val="0"/>
          <w:numId w:val="16"/>
        </w:numPr>
        <w:spacing w:line="221" w:lineRule="auto"/>
        <w:ind w:right="20"/>
        <w:jc w:val="both"/>
        <w:rPr>
          <w:rFonts w:eastAsia="Times New Roman"/>
          <w:sz w:val="20"/>
          <w:szCs w:val="20"/>
          <w:lang w:val="uk-UA"/>
        </w:rPr>
      </w:pPr>
      <w:r w:rsidRPr="00431B51">
        <w:rPr>
          <w:rFonts w:eastAsia="Times New Roman"/>
          <w:sz w:val="20"/>
          <w:szCs w:val="20"/>
          <w:lang w:val="uk-UA"/>
        </w:rPr>
        <w:t>широкий показник ліквідності (включає активи</w:t>
      </w:r>
      <w:r w:rsidR="00431B51" w:rsidRPr="00431B51">
        <w:rPr>
          <w:sz w:val="20"/>
          <w:szCs w:val="20"/>
          <w:lang w:val="uk-UA"/>
        </w:rPr>
        <w:t xml:space="preserve"> з </w:t>
      </w:r>
      <w:r w:rsidRPr="00431B51">
        <w:rPr>
          <w:rFonts w:eastAsia="Times New Roman"/>
          <w:sz w:val="20"/>
          <w:szCs w:val="20"/>
          <w:lang w:val="uk-UA"/>
        </w:rPr>
        <w:t xml:space="preserve">кінцевим строком погашення до 1 року), </w:t>
      </w:r>
    </w:p>
    <w:p w:rsidR="00431B51" w:rsidRPr="00431B51" w:rsidRDefault="00F67BF6" w:rsidP="00431B51">
      <w:pPr>
        <w:pStyle w:val="a4"/>
        <w:numPr>
          <w:ilvl w:val="0"/>
          <w:numId w:val="16"/>
        </w:numPr>
        <w:spacing w:line="221" w:lineRule="auto"/>
        <w:ind w:right="20"/>
        <w:jc w:val="both"/>
        <w:rPr>
          <w:rFonts w:eastAsia="Times New Roman"/>
          <w:sz w:val="20"/>
          <w:szCs w:val="20"/>
          <w:lang w:val="uk-UA"/>
        </w:rPr>
      </w:pPr>
      <w:r w:rsidRPr="00431B51">
        <w:rPr>
          <w:rFonts w:eastAsia="Times New Roman"/>
          <w:sz w:val="20"/>
          <w:szCs w:val="20"/>
          <w:lang w:val="uk-UA"/>
        </w:rPr>
        <w:t xml:space="preserve">показники </w:t>
      </w:r>
      <w:r w:rsidR="00431B51" w:rsidRPr="00431B51">
        <w:rPr>
          <w:rFonts w:eastAsia="Times New Roman"/>
          <w:sz w:val="20"/>
          <w:szCs w:val="20"/>
          <w:lang w:val="uk-UA"/>
        </w:rPr>
        <w:t>простроченої заборгованості,</w:t>
      </w:r>
    </w:p>
    <w:p w:rsidR="00431B51" w:rsidRPr="00431B51" w:rsidRDefault="00F67BF6" w:rsidP="00431B51">
      <w:pPr>
        <w:pStyle w:val="a4"/>
        <w:numPr>
          <w:ilvl w:val="0"/>
          <w:numId w:val="16"/>
        </w:numPr>
        <w:spacing w:line="221" w:lineRule="auto"/>
        <w:ind w:right="20"/>
        <w:jc w:val="both"/>
        <w:rPr>
          <w:rFonts w:eastAsia="Times New Roman"/>
          <w:sz w:val="20"/>
          <w:szCs w:val="20"/>
          <w:lang w:val="uk-UA"/>
        </w:rPr>
      </w:pPr>
      <w:r w:rsidRPr="00431B51">
        <w:rPr>
          <w:rFonts w:eastAsia="Times New Roman"/>
          <w:sz w:val="20"/>
          <w:szCs w:val="20"/>
          <w:lang w:val="uk-UA"/>
        </w:rPr>
        <w:t xml:space="preserve">обсяг відрахування в резерви за активними операціями, </w:t>
      </w:r>
    </w:p>
    <w:p w:rsidR="00431B51" w:rsidRPr="00431B51" w:rsidRDefault="00F67BF6" w:rsidP="00431B51">
      <w:pPr>
        <w:pStyle w:val="a4"/>
        <w:numPr>
          <w:ilvl w:val="0"/>
          <w:numId w:val="16"/>
        </w:numPr>
        <w:spacing w:line="221" w:lineRule="auto"/>
        <w:ind w:right="20"/>
        <w:jc w:val="both"/>
        <w:rPr>
          <w:rFonts w:eastAsia="Times New Roman"/>
          <w:sz w:val="20"/>
          <w:szCs w:val="20"/>
          <w:lang w:val="uk-UA"/>
        </w:rPr>
      </w:pPr>
      <w:r w:rsidRPr="00431B51">
        <w:rPr>
          <w:rFonts w:eastAsia="Times New Roman"/>
          <w:sz w:val="20"/>
          <w:szCs w:val="20"/>
          <w:lang w:val="uk-UA"/>
        </w:rPr>
        <w:t xml:space="preserve">показники доларизації кредитів і депозитів, </w:t>
      </w:r>
    </w:p>
    <w:p w:rsidR="00431B51" w:rsidRPr="00431B51" w:rsidRDefault="00F67BF6" w:rsidP="00431B51">
      <w:pPr>
        <w:pStyle w:val="a4"/>
        <w:numPr>
          <w:ilvl w:val="0"/>
          <w:numId w:val="16"/>
        </w:numPr>
        <w:spacing w:line="221" w:lineRule="auto"/>
        <w:ind w:right="20"/>
        <w:jc w:val="both"/>
        <w:rPr>
          <w:rFonts w:eastAsia="Times New Roman"/>
          <w:sz w:val="20"/>
          <w:szCs w:val="20"/>
          <w:lang w:val="uk-UA"/>
        </w:rPr>
      </w:pPr>
      <w:r w:rsidRPr="00431B51">
        <w:rPr>
          <w:rFonts w:eastAsia="Times New Roman"/>
          <w:sz w:val="20"/>
          <w:szCs w:val="20"/>
          <w:lang w:val="uk-UA"/>
        </w:rPr>
        <w:t>показники ефективності банківської діяльності (</w:t>
      </w:r>
      <w:r w:rsidRPr="00431B51">
        <w:rPr>
          <w:rFonts w:eastAsia="Times New Roman"/>
          <w:sz w:val="20"/>
          <w:szCs w:val="20"/>
        </w:rPr>
        <w:t>ROA</w:t>
      </w:r>
      <w:r w:rsidRPr="00431B51">
        <w:rPr>
          <w:rFonts w:eastAsia="Times New Roman"/>
          <w:sz w:val="20"/>
          <w:szCs w:val="20"/>
          <w:lang w:val="uk-UA"/>
        </w:rPr>
        <w:t xml:space="preserve">, </w:t>
      </w:r>
      <w:r w:rsidRPr="00431B51">
        <w:rPr>
          <w:rFonts w:eastAsia="Times New Roman"/>
          <w:sz w:val="20"/>
          <w:szCs w:val="20"/>
        </w:rPr>
        <w:t>ROE</w:t>
      </w:r>
      <w:r w:rsidRPr="00431B51">
        <w:rPr>
          <w:rFonts w:eastAsia="Times New Roman"/>
          <w:sz w:val="20"/>
          <w:szCs w:val="20"/>
          <w:lang w:val="uk-UA"/>
        </w:rPr>
        <w:t xml:space="preserve">), </w:t>
      </w:r>
    </w:p>
    <w:p w:rsidR="00431B51" w:rsidRPr="00431B51" w:rsidRDefault="00F67BF6" w:rsidP="00431B51">
      <w:pPr>
        <w:pStyle w:val="a4"/>
        <w:numPr>
          <w:ilvl w:val="0"/>
          <w:numId w:val="16"/>
        </w:numPr>
        <w:spacing w:line="221" w:lineRule="auto"/>
        <w:ind w:right="20"/>
        <w:jc w:val="both"/>
        <w:rPr>
          <w:rFonts w:eastAsia="Times New Roman"/>
          <w:sz w:val="20"/>
          <w:szCs w:val="20"/>
          <w:lang w:val="uk-UA"/>
        </w:rPr>
      </w:pPr>
      <w:r w:rsidRPr="00431B51">
        <w:rPr>
          <w:rFonts w:eastAsia="Times New Roman"/>
          <w:sz w:val="20"/>
          <w:szCs w:val="20"/>
          <w:lang w:val="uk-UA"/>
        </w:rPr>
        <w:t xml:space="preserve">показники прибутковості. </w:t>
      </w:r>
    </w:p>
    <w:p w:rsidR="00431B51" w:rsidRDefault="00F67BF6" w:rsidP="00431B51">
      <w:pPr>
        <w:spacing w:line="221" w:lineRule="auto"/>
        <w:ind w:left="10" w:right="20" w:firstLine="283"/>
        <w:jc w:val="both"/>
        <w:rPr>
          <w:rFonts w:eastAsia="Times New Roman"/>
          <w:sz w:val="20"/>
          <w:szCs w:val="20"/>
          <w:lang w:val="uk-UA"/>
        </w:rPr>
      </w:pPr>
      <w:r w:rsidRPr="00431B51">
        <w:rPr>
          <w:rFonts w:eastAsia="Times New Roman"/>
          <w:sz w:val="20"/>
          <w:szCs w:val="20"/>
          <w:lang w:val="uk-UA"/>
        </w:rPr>
        <w:t xml:space="preserve">Як показує практика, вагомий вплив на фінансову безпеку вітчизняних банків має ризик контрагента, який включає в себе як інсайдерів, так і інші комерційні банки, оскільки в умовах кризи погіршення ситуації з ліквідністю будь-кого з них призведе до миттєвого погіршення фінансової безпеки комерційного банку. </w:t>
      </w:r>
    </w:p>
    <w:p w:rsidR="00431B51" w:rsidRDefault="00F67BF6" w:rsidP="00431B51">
      <w:pPr>
        <w:spacing w:line="221" w:lineRule="auto"/>
        <w:ind w:left="10" w:right="20" w:firstLine="283"/>
        <w:jc w:val="both"/>
        <w:rPr>
          <w:rFonts w:eastAsia="Times New Roman"/>
          <w:sz w:val="20"/>
          <w:szCs w:val="20"/>
          <w:lang w:val="uk-UA"/>
        </w:rPr>
      </w:pPr>
      <w:r w:rsidRPr="00431B51">
        <w:rPr>
          <w:rFonts w:eastAsia="Times New Roman"/>
          <w:sz w:val="20"/>
          <w:szCs w:val="20"/>
          <w:lang w:val="uk-UA"/>
        </w:rPr>
        <w:t xml:space="preserve">Наступною групою показників, за допомогою яких можна оцінити рівень фінансової безпеки комерційних банків, є показники, що відображають вплив зовнішніх факторів на діяльність комерційних банків, тобто тих факторів, на які комерційні банки не мають прямого впливу, зокрема: </w:t>
      </w:r>
    </w:p>
    <w:p w:rsidR="00431B51" w:rsidRPr="00382BAB" w:rsidRDefault="00F67BF6" w:rsidP="00382BAB">
      <w:pPr>
        <w:pStyle w:val="a4"/>
        <w:numPr>
          <w:ilvl w:val="0"/>
          <w:numId w:val="20"/>
        </w:numPr>
        <w:spacing w:line="221" w:lineRule="auto"/>
        <w:ind w:right="20"/>
        <w:jc w:val="both"/>
        <w:rPr>
          <w:rFonts w:eastAsia="Times New Roman"/>
          <w:sz w:val="20"/>
          <w:szCs w:val="20"/>
          <w:lang w:val="uk-UA"/>
        </w:rPr>
      </w:pPr>
      <w:r w:rsidRPr="00382BAB">
        <w:rPr>
          <w:rFonts w:eastAsia="Times New Roman"/>
          <w:sz w:val="20"/>
          <w:szCs w:val="20"/>
          <w:lang w:val="uk-UA"/>
        </w:rPr>
        <w:t xml:space="preserve">монетарні індикатори (облікова ставка, норма обов’язкового резервування, ставка за операціями на відкритому ринку) можуть мати негативний вплив на фінансову безпеку банків у випадку низької незалежності голови центрального банку, що зараз проявляється в Україні; </w:t>
      </w:r>
    </w:p>
    <w:p w:rsidR="00431B51" w:rsidRPr="00431B51" w:rsidRDefault="00F67BF6" w:rsidP="00431B51">
      <w:pPr>
        <w:pStyle w:val="a4"/>
        <w:numPr>
          <w:ilvl w:val="0"/>
          <w:numId w:val="17"/>
        </w:numPr>
        <w:spacing w:line="221" w:lineRule="auto"/>
        <w:ind w:right="20"/>
        <w:jc w:val="both"/>
        <w:rPr>
          <w:rFonts w:eastAsia="Times New Roman"/>
          <w:sz w:val="20"/>
          <w:szCs w:val="20"/>
          <w:lang w:val="uk-UA"/>
        </w:rPr>
      </w:pPr>
      <w:r w:rsidRPr="00431B51">
        <w:rPr>
          <w:rFonts w:eastAsia="Times New Roman"/>
          <w:sz w:val="20"/>
          <w:szCs w:val="20"/>
          <w:lang w:val="uk-UA"/>
        </w:rPr>
        <w:t>валютний курс (девальвація якого впливає на рівень довіри до банків, а також призводить д</w:t>
      </w:r>
      <w:r w:rsidR="00431B51" w:rsidRPr="00431B51">
        <w:rPr>
          <w:rFonts w:eastAsia="Times New Roman"/>
          <w:sz w:val="20"/>
          <w:szCs w:val="20"/>
          <w:lang w:val="uk-UA"/>
        </w:rPr>
        <w:t>о суттєвих втрат внаслідок кур</w:t>
      </w:r>
      <w:r w:rsidRPr="00431B51">
        <w:rPr>
          <w:rFonts w:eastAsia="Times New Roman"/>
          <w:sz w:val="20"/>
          <w:szCs w:val="20"/>
          <w:lang w:val="uk-UA"/>
        </w:rPr>
        <w:t xml:space="preserve">сових переоцінок і до росту простроченої заборгованості); </w:t>
      </w:r>
    </w:p>
    <w:p w:rsidR="00431B51" w:rsidRPr="00431B51" w:rsidRDefault="00F67BF6" w:rsidP="00431B51">
      <w:pPr>
        <w:pStyle w:val="a4"/>
        <w:numPr>
          <w:ilvl w:val="0"/>
          <w:numId w:val="17"/>
        </w:numPr>
        <w:spacing w:line="221" w:lineRule="auto"/>
        <w:ind w:right="20"/>
        <w:jc w:val="both"/>
        <w:rPr>
          <w:rFonts w:eastAsia="Times New Roman"/>
          <w:sz w:val="20"/>
          <w:szCs w:val="20"/>
          <w:lang w:val="uk-UA"/>
        </w:rPr>
      </w:pPr>
      <w:r w:rsidRPr="00431B51">
        <w:rPr>
          <w:rFonts w:eastAsia="Times New Roman"/>
          <w:sz w:val="20"/>
          <w:szCs w:val="20"/>
          <w:lang w:val="uk-UA"/>
        </w:rPr>
        <w:t>інфляція (зроста</w:t>
      </w:r>
      <w:r w:rsidR="00431B51" w:rsidRPr="00431B51">
        <w:rPr>
          <w:rFonts w:eastAsia="Times New Roman"/>
          <w:sz w:val="20"/>
          <w:szCs w:val="20"/>
          <w:lang w:val="uk-UA"/>
        </w:rPr>
        <w:t>ння інфляції</w:t>
      </w:r>
      <w:r w:rsidRPr="00431B51">
        <w:rPr>
          <w:rFonts w:eastAsia="Times New Roman"/>
          <w:sz w:val="20"/>
          <w:szCs w:val="20"/>
          <w:lang w:val="uk-UA"/>
        </w:rPr>
        <w:t xml:space="preserve"> призводить до зниження реальних заробітни</w:t>
      </w:r>
      <w:r w:rsidR="00431B51" w:rsidRPr="00431B51">
        <w:rPr>
          <w:rFonts w:eastAsia="Times New Roman"/>
          <w:sz w:val="20"/>
          <w:szCs w:val="20"/>
          <w:lang w:val="uk-UA"/>
        </w:rPr>
        <w:t>х плат і породжує попит на депо</w:t>
      </w:r>
      <w:r w:rsidRPr="00431B51">
        <w:rPr>
          <w:rFonts w:eastAsia="Times New Roman"/>
          <w:sz w:val="20"/>
          <w:szCs w:val="20"/>
          <w:lang w:val="uk-UA"/>
        </w:rPr>
        <w:t xml:space="preserve">зити, іноземну валюту, а також знижує кредитоспроможність позичальників і купівельну спроможність населення загалом); </w:t>
      </w:r>
    </w:p>
    <w:p w:rsidR="009134EA" w:rsidRPr="00431B51" w:rsidRDefault="00F67BF6" w:rsidP="00431B51">
      <w:pPr>
        <w:pStyle w:val="a4"/>
        <w:numPr>
          <w:ilvl w:val="0"/>
          <w:numId w:val="17"/>
        </w:numPr>
        <w:spacing w:line="221" w:lineRule="auto"/>
        <w:ind w:right="20"/>
        <w:jc w:val="both"/>
        <w:rPr>
          <w:sz w:val="20"/>
          <w:szCs w:val="20"/>
          <w:lang w:val="uk-UA"/>
        </w:rPr>
      </w:pPr>
      <w:r w:rsidRPr="00431B51">
        <w:rPr>
          <w:rFonts w:eastAsia="Times New Roman"/>
          <w:sz w:val="20"/>
          <w:szCs w:val="20"/>
          <w:lang w:val="uk-UA"/>
        </w:rPr>
        <w:t>динаміка В</w:t>
      </w:r>
      <w:r w:rsidR="00431B51" w:rsidRPr="00431B51">
        <w:rPr>
          <w:rFonts w:eastAsia="Times New Roman"/>
          <w:sz w:val="20"/>
          <w:szCs w:val="20"/>
          <w:lang w:val="uk-UA"/>
        </w:rPr>
        <w:t>ВП відображає ділову активність</w:t>
      </w:r>
      <w:r w:rsidRPr="00431B51">
        <w:rPr>
          <w:rFonts w:eastAsia="Times New Roman"/>
          <w:sz w:val="20"/>
          <w:szCs w:val="20"/>
          <w:lang w:val="uk-UA"/>
        </w:rPr>
        <w:t xml:space="preserve"> та економічне зростання країни, що впл</w:t>
      </w:r>
      <w:r w:rsidR="00431B51" w:rsidRPr="00431B51">
        <w:rPr>
          <w:rFonts w:eastAsia="Times New Roman"/>
          <w:sz w:val="20"/>
          <w:szCs w:val="20"/>
          <w:lang w:val="uk-UA"/>
        </w:rPr>
        <w:t>иває на динаміку ресурсної бази</w:t>
      </w:r>
      <w:r w:rsidRPr="00431B51">
        <w:rPr>
          <w:rFonts w:eastAsia="Times New Roman"/>
          <w:sz w:val="20"/>
          <w:szCs w:val="20"/>
          <w:lang w:val="uk-UA"/>
        </w:rPr>
        <w:t xml:space="preserve"> банків і їх кредитно-інвестиційних портфель.</w:t>
      </w:r>
    </w:p>
    <w:p w:rsidR="009134EA" w:rsidRPr="00431B51" w:rsidRDefault="009134EA">
      <w:pPr>
        <w:spacing w:line="64" w:lineRule="exact"/>
        <w:rPr>
          <w:rFonts w:eastAsia="Times New Roman"/>
          <w:sz w:val="20"/>
          <w:szCs w:val="20"/>
          <w:lang w:val="uk-UA"/>
        </w:rPr>
      </w:pPr>
    </w:p>
    <w:p w:rsidR="00B71753" w:rsidRDefault="00F67BF6" w:rsidP="00B71753">
      <w:pPr>
        <w:ind w:left="10" w:firstLine="283"/>
        <w:jc w:val="both"/>
        <w:rPr>
          <w:rFonts w:eastAsia="Times New Roman"/>
          <w:sz w:val="20"/>
          <w:szCs w:val="20"/>
          <w:lang w:val="uk-UA"/>
        </w:rPr>
      </w:pPr>
      <w:r w:rsidRPr="00241FCD">
        <w:rPr>
          <w:rFonts w:eastAsia="Times New Roman"/>
          <w:sz w:val="20"/>
          <w:szCs w:val="20"/>
          <w:lang w:val="uk-UA"/>
        </w:rPr>
        <w:t xml:space="preserve">Щодо вибору показників оцінки рівня фінансової безпеки банківської системи загалом, то більшість показників є аналогічними до показників оцінки фінансової безпеки комерційних банків, однак значення самих показників обчислюється загалом по системі. </w:t>
      </w:r>
      <w:r w:rsidR="00B71753">
        <w:rPr>
          <w:rFonts w:eastAsia="Times New Roman"/>
          <w:sz w:val="20"/>
          <w:szCs w:val="20"/>
          <w:lang w:val="uk-UA"/>
        </w:rPr>
        <w:t xml:space="preserve">     </w:t>
      </w:r>
      <w:r w:rsidRPr="00241FCD">
        <w:rPr>
          <w:rFonts w:eastAsia="Times New Roman"/>
          <w:sz w:val="20"/>
          <w:szCs w:val="20"/>
          <w:lang w:val="uk-UA"/>
        </w:rPr>
        <w:t>Проте, враховуючи досвід кризових</w:t>
      </w:r>
      <w:r w:rsidR="00431B51" w:rsidRPr="00241FCD">
        <w:rPr>
          <w:rFonts w:eastAsia="Times New Roman"/>
          <w:sz w:val="20"/>
          <w:szCs w:val="20"/>
          <w:lang w:val="uk-UA"/>
        </w:rPr>
        <w:t xml:space="preserve"> явищ в Україні та війни з Росією</w:t>
      </w:r>
      <w:r w:rsidR="00431B51">
        <w:rPr>
          <w:rFonts w:eastAsia="Times New Roman"/>
          <w:sz w:val="20"/>
          <w:szCs w:val="20"/>
          <w:lang w:val="uk-UA"/>
        </w:rPr>
        <w:t>,</w:t>
      </w:r>
      <w:r w:rsidRPr="00241FCD">
        <w:rPr>
          <w:rFonts w:eastAsia="Times New Roman"/>
          <w:sz w:val="20"/>
          <w:szCs w:val="20"/>
          <w:lang w:val="uk-UA"/>
        </w:rPr>
        <w:t xml:space="preserve"> варто виокреми</w:t>
      </w:r>
      <w:r w:rsidR="00431B51" w:rsidRPr="00241FCD">
        <w:rPr>
          <w:rFonts w:eastAsia="Times New Roman"/>
          <w:sz w:val="20"/>
          <w:szCs w:val="20"/>
          <w:lang w:val="uk-UA"/>
        </w:rPr>
        <w:t>ти чотири показники, які мають</w:t>
      </w:r>
      <w:r w:rsidR="00431B51">
        <w:rPr>
          <w:rFonts w:eastAsia="Times New Roman"/>
          <w:sz w:val="20"/>
          <w:szCs w:val="20"/>
          <w:lang w:val="uk-UA"/>
        </w:rPr>
        <w:t xml:space="preserve"> </w:t>
      </w:r>
      <w:r w:rsidRPr="00241FCD">
        <w:rPr>
          <w:rFonts w:eastAsia="Times New Roman"/>
          <w:sz w:val="20"/>
          <w:szCs w:val="20"/>
          <w:lang w:val="uk-UA"/>
        </w:rPr>
        <w:t xml:space="preserve">суттєвий вплив на фінансову безпеку вітчизняної банківської системи. </w:t>
      </w:r>
      <w:r w:rsidRPr="00431B51">
        <w:rPr>
          <w:rFonts w:eastAsia="Times New Roman"/>
          <w:sz w:val="20"/>
          <w:szCs w:val="20"/>
          <w:lang w:val="uk-UA"/>
        </w:rPr>
        <w:t>Один з головних таких показників є</w:t>
      </w:r>
    </w:p>
    <w:p w:rsidR="00431B51" w:rsidRPr="00B71753" w:rsidRDefault="00F67BF6" w:rsidP="00B71753">
      <w:pPr>
        <w:pStyle w:val="a4"/>
        <w:numPr>
          <w:ilvl w:val="0"/>
          <w:numId w:val="21"/>
        </w:numPr>
        <w:jc w:val="both"/>
        <w:rPr>
          <w:rFonts w:eastAsia="Times New Roman"/>
          <w:sz w:val="20"/>
          <w:szCs w:val="20"/>
          <w:lang w:val="uk-UA"/>
        </w:rPr>
      </w:pPr>
      <w:r w:rsidRPr="00B71753">
        <w:rPr>
          <w:rFonts w:eastAsia="Times New Roman"/>
          <w:sz w:val="20"/>
          <w:szCs w:val="20"/>
          <w:lang w:val="uk-UA"/>
        </w:rPr>
        <w:t>концентрація капіталу банківської системи в іноземних банках, зокрема в державних банках Російської Федерації, адже концентрація капіталу в банках країни-агресора дозволяє їй здійснювати підрив фінансової безпеки вітчизняної банківської системи шляхом збільшення попиту на іноземну валюту, а також шляхом шантажу в контексті впливу на рішення монетарної влади нашої держави.</w:t>
      </w:r>
    </w:p>
    <w:p w:rsidR="00B71753" w:rsidRDefault="00F67BF6">
      <w:pPr>
        <w:ind w:left="10" w:firstLine="283"/>
        <w:jc w:val="both"/>
        <w:rPr>
          <w:rFonts w:eastAsia="Times New Roman"/>
          <w:sz w:val="20"/>
          <w:szCs w:val="20"/>
          <w:lang w:val="uk-UA"/>
        </w:rPr>
      </w:pPr>
      <w:r w:rsidRPr="00431B51">
        <w:rPr>
          <w:rFonts w:eastAsia="Times New Roman"/>
          <w:sz w:val="20"/>
          <w:szCs w:val="20"/>
          <w:lang w:val="uk-UA"/>
        </w:rPr>
        <w:t xml:space="preserve"> Вагоме місце серед показників, що мають вплив на фінансову безпеку банківської системи України, займають показники </w:t>
      </w:r>
    </w:p>
    <w:p w:rsidR="00B71753" w:rsidRPr="00B71753" w:rsidRDefault="00F67BF6" w:rsidP="00B71753">
      <w:pPr>
        <w:pStyle w:val="a4"/>
        <w:numPr>
          <w:ilvl w:val="0"/>
          <w:numId w:val="21"/>
        </w:numPr>
        <w:jc w:val="both"/>
        <w:rPr>
          <w:rFonts w:eastAsia="Times New Roman"/>
          <w:sz w:val="20"/>
          <w:szCs w:val="20"/>
          <w:lang w:val="uk-UA"/>
        </w:rPr>
      </w:pPr>
      <w:r w:rsidRPr="00B71753">
        <w:rPr>
          <w:rFonts w:eastAsia="Times New Roman"/>
          <w:sz w:val="20"/>
          <w:szCs w:val="20"/>
          <w:lang w:val="uk-UA"/>
        </w:rPr>
        <w:t xml:space="preserve">частки готівки у грошовій масі та </w:t>
      </w:r>
    </w:p>
    <w:p w:rsidR="00431B51" w:rsidRPr="00B71753" w:rsidRDefault="00F67BF6" w:rsidP="00B71753">
      <w:pPr>
        <w:pStyle w:val="a4"/>
        <w:numPr>
          <w:ilvl w:val="0"/>
          <w:numId w:val="21"/>
        </w:numPr>
        <w:jc w:val="both"/>
        <w:rPr>
          <w:rFonts w:eastAsia="Times New Roman"/>
          <w:sz w:val="20"/>
          <w:szCs w:val="20"/>
          <w:lang w:val="uk-UA"/>
        </w:rPr>
      </w:pPr>
      <w:r w:rsidRPr="00B71753">
        <w:rPr>
          <w:rFonts w:eastAsia="Times New Roman"/>
          <w:sz w:val="20"/>
          <w:szCs w:val="20"/>
          <w:lang w:val="uk-UA"/>
        </w:rPr>
        <w:t xml:space="preserve">частки іноземної готівки в грошовому обігу, що дозволяє оцінити можливості відтоку депозитів з банків, можливості збільшення попиту на іноземну валюту, а також визначити обсяг грошової маси, яка незадіяна банками для розвитку вітчизняної економіки і підтримки своєї ліквідності. </w:t>
      </w:r>
    </w:p>
    <w:p w:rsidR="00B71753" w:rsidRDefault="00F67BF6">
      <w:pPr>
        <w:ind w:left="10" w:firstLine="283"/>
        <w:jc w:val="both"/>
        <w:rPr>
          <w:rFonts w:eastAsia="Times New Roman"/>
          <w:sz w:val="20"/>
          <w:szCs w:val="20"/>
          <w:lang w:val="uk-UA"/>
        </w:rPr>
      </w:pPr>
      <w:r w:rsidRPr="00431B51">
        <w:rPr>
          <w:rFonts w:eastAsia="Times New Roman"/>
          <w:sz w:val="20"/>
          <w:szCs w:val="20"/>
          <w:lang w:val="uk-UA"/>
        </w:rPr>
        <w:lastRenderedPageBreak/>
        <w:t>Останнім показником, який</w:t>
      </w:r>
      <w:r w:rsidR="00EC3F7F">
        <w:rPr>
          <w:rFonts w:eastAsia="Times New Roman"/>
          <w:sz w:val="20"/>
          <w:szCs w:val="20"/>
          <w:lang w:val="uk-UA"/>
        </w:rPr>
        <w:t xml:space="preserve"> </w:t>
      </w:r>
      <w:r w:rsidRPr="00431B51">
        <w:rPr>
          <w:rFonts w:eastAsia="Times New Roman"/>
          <w:sz w:val="20"/>
          <w:szCs w:val="20"/>
          <w:lang w:val="uk-UA"/>
        </w:rPr>
        <w:t>є корисним д</w:t>
      </w:r>
      <w:r w:rsidR="00EC3F7F">
        <w:rPr>
          <w:rFonts w:eastAsia="Times New Roman"/>
          <w:sz w:val="20"/>
          <w:szCs w:val="20"/>
          <w:lang w:val="uk-UA"/>
        </w:rPr>
        <w:t>ля оцінки рівня фінансової без</w:t>
      </w:r>
      <w:r w:rsidRPr="00431B51">
        <w:rPr>
          <w:rFonts w:eastAsia="Times New Roman"/>
          <w:sz w:val="20"/>
          <w:szCs w:val="20"/>
          <w:lang w:val="uk-UA"/>
        </w:rPr>
        <w:t xml:space="preserve">пеки банківської системи України є </w:t>
      </w:r>
    </w:p>
    <w:p w:rsidR="009134EA" w:rsidRPr="00B71753" w:rsidRDefault="00F67BF6" w:rsidP="00B71753">
      <w:pPr>
        <w:pStyle w:val="a4"/>
        <w:numPr>
          <w:ilvl w:val="0"/>
          <w:numId w:val="22"/>
        </w:numPr>
        <w:jc w:val="both"/>
        <w:rPr>
          <w:rFonts w:eastAsia="Times New Roman"/>
          <w:sz w:val="20"/>
          <w:szCs w:val="20"/>
          <w:lang w:val="uk-UA"/>
        </w:rPr>
      </w:pPr>
      <w:bookmarkStart w:id="0" w:name="_GoBack"/>
      <w:bookmarkEnd w:id="0"/>
      <w:r w:rsidRPr="00B71753">
        <w:rPr>
          <w:rFonts w:eastAsia="Times New Roman"/>
          <w:sz w:val="20"/>
          <w:szCs w:val="20"/>
          <w:lang w:val="uk-UA"/>
        </w:rPr>
        <w:t xml:space="preserve">динаміка </w:t>
      </w:r>
      <w:proofErr w:type="spellStart"/>
      <w:r w:rsidRPr="00B71753">
        <w:rPr>
          <w:rFonts w:eastAsia="Times New Roman"/>
          <w:sz w:val="20"/>
          <w:szCs w:val="20"/>
          <w:lang w:val="uk-UA"/>
        </w:rPr>
        <w:t>кредитно-</w:t>
      </w:r>
      <w:r w:rsidR="00EC3F7F" w:rsidRPr="00B71753">
        <w:rPr>
          <w:rFonts w:eastAsia="Times New Roman"/>
          <w:sz w:val="20"/>
          <w:szCs w:val="20"/>
          <w:lang w:val="uk-UA"/>
        </w:rPr>
        <w:t>дефолтного</w:t>
      </w:r>
      <w:proofErr w:type="spellEnd"/>
      <w:r w:rsidR="00EC3F7F" w:rsidRPr="00B71753">
        <w:rPr>
          <w:rFonts w:eastAsia="Times New Roman"/>
          <w:sz w:val="20"/>
          <w:szCs w:val="20"/>
          <w:lang w:val="uk-UA"/>
        </w:rPr>
        <w:t xml:space="preserve"> </w:t>
      </w:r>
      <w:proofErr w:type="spellStart"/>
      <w:r w:rsidR="00EC3F7F" w:rsidRPr="00B71753">
        <w:rPr>
          <w:rFonts w:eastAsia="Times New Roman"/>
          <w:sz w:val="20"/>
          <w:szCs w:val="20"/>
          <w:lang w:val="uk-UA"/>
        </w:rPr>
        <w:t>свопу</w:t>
      </w:r>
      <w:proofErr w:type="spellEnd"/>
      <w:r w:rsidR="00EC3F7F" w:rsidRPr="00B71753">
        <w:rPr>
          <w:rFonts w:eastAsia="Times New Roman"/>
          <w:sz w:val="20"/>
          <w:szCs w:val="20"/>
          <w:lang w:val="uk-UA"/>
        </w:rPr>
        <w:t>, що відображає</w:t>
      </w:r>
      <w:r w:rsidRPr="00B71753">
        <w:rPr>
          <w:rFonts w:eastAsia="Times New Roman"/>
          <w:sz w:val="20"/>
          <w:szCs w:val="20"/>
          <w:lang w:val="uk-UA"/>
        </w:rPr>
        <w:t xml:space="preserve"> </w:t>
      </w:r>
      <w:proofErr w:type="spellStart"/>
      <w:r w:rsidRPr="00B71753">
        <w:rPr>
          <w:rFonts w:eastAsia="Times New Roman"/>
          <w:sz w:val="20"/>
          <w:szCs w:val="20"/>
          <w:lang w:val="uk-UA"/>
        </w:rPr>
        <w:t>ризиковість</w:t>
      </w:r>
      <w:proofErr w:type="spellEnd"/>
      <w:r w:rsidRPr="00B71753">
        <w:rPr>
          <w:rFonts w:eastAsia="Times New Roman"/>
          <w:sz w:val="20"/>
          <w:szCs w:val="20"/>
          <w:lang w:val="uk-UA"/>
        </w:rPr>
        <w:t xml:space="preserve"> української економіки, а отже </w:t>
      </w:r>
      <w:r w:rsidR="00EC3F7F" w:rsidRPr="00B71753">
        <w:rPr>
          <w:rFonts w:eastAsia="Times New Roman"/>
          <w:sz w:val="20"/>
          <w:szCs w:val="20"/>
          <w:lang w:val="uk-UA"/>
        </w:rPr>
        <w:t>дозволяє оцінити ризики відтоку</w:t>
      </w:r>
      <w:r w:rsidRPr="00B71753">
        <w:rPr>
          <w:rFonts w:eastAsia="Times New Roman"/>
          <w:sz w:val="20"/>
          <w:szCs w:val="20"/>
          <w:lang w:val="uk-UA"/>
        </w:rPr>
        <w:t xml:space="preserve"> капіталу з вітчизняної банківської системи.</w:t>
      </w:r>
    </w:p>
    <w:p w:rsidR="009134EA" w:rsidRPr="00431B51" w:rsidRDefault="009134EA">
      <w:pPr>
        <w:spacing w:line="82" w:lineRule="exact"/>
        <w:rPr>
          <w:rFonts w:eastAsia="Times New Roman"/>
          <w:sz w:val="20"/>
          <w:szCs w:val="20"/>
          <w:lang w:val="uk-UA"/>
        </w:rPr>
      </w:pPr>
    </w:p>
    <w:p w:rsidR="00EC3F7F" w:rsidRDefault="00F67BF6">
      <w:pPr>
        <w:spacing w:line="221" w:lineRule="auto"/>
        <w:ind w:left="10" w:firstLine="283"/>
        <w:jc w:val="both"/>
        <w:rPr>
          <w:rFonts w:eastAsia="Times New Roman"/>
          <w:sz w:val="20"/>
          <w:szCs w:val="20"/>
          <w:lang w:val="uk-UA"/>
        </w:rPr>
      </w:pPr>
      <w:r w:rsidRPr="00EC3F7F">
        <w:rPr>
          <w:rFonts w:eastAsia="Times New Roman"/>
          <w:sz w:val="20"/>
          <w:szCs w:val="20"/>
          <w:lang w:val="uk-UA"/>
        </w:rPr>
        <w:t>Таким чином, підсумовуючи сказане, варто за</w:t>
      </w:r>
      <w:r w:rsidR="00EC3F7F" w:rsidRPr="00EC3F7F">
        <w:rPr>
          <w:rFonts w:eastAsia="Times New Roman"/>
          <w:sz w:val="20"/>
          <w:szCs w:val="20"/>
          <w:lang w:val="uk-UA"/>
        </w:rPr>
        <w:t>уважити, що в економічній літе</w:t>
      </w:r>
      <w:r w:rsidRPr="00EC3F7F">
        <w:rPr>
          <w:rFonts w:eastAsia="Times New Roman"/>
          <w:sz w:val="20"/>
          <w:szCs w:val="20"/>
          <w:lang w:val="uk-UA"/>
        </w:rPr>
        <w:t>ратурі не існує комплексної моделі оцінки фін</w:t>
      </w:r>
      <w:r w:rsidR="00EC3F7F">
        <w:rPr>
          <w:rFonts w:eastAsia="Times New Roman"/>
          <w:sz w:val="20"/>
          <w:szCs w:val="20"/>
          <w:lang w:val="uk-UA"/>
        </w:rPr>
        <w:t>ансової безпеки банків і банківсь</w:t>
      </w:r>
      <w:r w:rsidRPr="00EC3F7F">
        <w:rPr>
          <w:rFonts w:eastAsia="Times New Roman"/>
          <w:sz w:val="20"/>
          <w:szCs w:val="20"/>
          <w:lang w:val="uk-UA"/>
        </w:rPr>
        <w:t xml:space="preserve">кої системи, оскільки не має єдиного підходу до визначення структури понять безпеки банку загалом. </w:t>
      </w:r>
      <w:r w:rsidRPr="00241FCD">
        <w:rPr>
          <w:rFonts w:eastAsia="Times New Roman"/>
          <w:sz w:val="20"/>
          <w:szCs w:val="20"/>
          <w:lang w:val="uk-UA"/>
        </w:rPr>
        <w:t xml:space="preserve">Наявні моделі оцінки фінансової безпеки банківської діяльності здебільшого спрямовані на мікроекономічний рівень та, на наш погляд, характеризуються такими недоліками: </w:t>
      </w:r>
    </w:p>
    <w:p w:rsidR="00EC3F7F" w:rsidRPr="00E47E9E" w:rsidRDefault="00F67BF6" w:rsidP="00E47E9E">
      <w:pPr>
        <w:pStyle w:val="a4"/>
        <w:numPr>
          <w:ilvl w:val="0"/>
          <w:numId w:val="18"/>
        </w:numPr>
        <w:spacing w:line="221" w:lineRule="auto"/>
        <w:jc w:val="both"/>
        <w:rPr>
          <w:rFonts w:eastAsia="Times New Roman"/>
          <w:sz w:val="20"/>
          <w:szCs w:val="20"/>
          <w:lang w:val="uk-UA"/>
        </w:rPr>
      </w:pPr>
      <w:r w:rsidRPr="00E47E9E">
        <w:rPr>
          <w:rFonts w:eastAsia="Times New Roman"/>
          <w:sz w:val="20"/>
          <w:szCs w:val="20"/>
          <w:lang w:val="uk-UA"/>
        </w:rPr>
        <w:t xml:space="preserve">відсутність системності, </w:t>
      </w:r>
    </w:p>
    <w:p w:rsidR="009134EA" w:rsidRPr="00E47E9E" w:rsidRDefault="00F67BF6" w:rsidP="00E47E9E">
      <w:pPr>
        <w:pStyle w:val="a4"/>
        <w:numPr>
          <w:ilvl w:val="0"/>
          <w:numId w:val="18"/>
        </w:numPr>
        <w:spacing w:line="221" w:lineRule="auto"/>
        <w:jc w:val="both"/>
        <w:rPr>
          <w:rFonts w:eastAsia="Times New Roman"/>
          <w:sz w:val="20"/>
          <w:szCs w:val="20"/>
          <w:lang w:val="uk-UA"/>
        </w:rPr>
      </w:pPr>
      <w:r w:rsidRPr="00E47E9E">
        <w:rPr>
          <w:rFonts w:eastAsia="Times New Roman"/>
          <w:sz w:val="20"/>
          <w:szCs w:val="20"/>
          <w:lang w:val="uk-UA"/>
        </w:rPr>
        <w:t>низька значущість</w:t>
      </w:r>
    </w:p>
    <w:p w:rsidR="009134EA" w:rsidRPr="00EC3F7F" w:rsidRDefault="009134EA" w:rsidP="00EC3F7F">
      <w:pPr>
        <w:spacing w:line="20" w:lineRule="exact"/>
        <w:rPr>
          <w:sz w:val="20"/>
          <w:szCs w:val="20"/>
          <w:lang w:val="uk-UA"/>
        </w:rPr>
      </w:pPr>
    </w:p>
    <w:p w:rsidR="00EC3F7F" w:rsidRPr="00E47E9E" w:rsidRDefault="00F67BF6" w:rsidP="00E47E9E">
      <w:pPr>
        <w:pStyle w:val="a4"/>
        <w:numPr>
          <w:ilvl w:val="0"/>
          <w:numId w:val="18"/>
        </w:numPr>
        <w:tabs>
          <w:tab w:val="left" w:pos="156"/>
        </w:tabs>
        <w:spacing w:line="237" w:lineRule="auto"/>
        <w:jc w:val="both"/>
        <w:rPr>
          <w:rFonts w:eastAsia="Times New Roman"/>
          <w:sz w:val="20"/>
          <w:szCs w:val="20"/>
          <w:lang w:val="uk-UA"/>
        </w:rPr>
      </w:pPr>
      <w:r w:rsidRPr="00E47E9E">
        <w:rPr>
          <w:rFonts w:eastAsia="Times New Roman"/>
          <w:sz w:val="20"/>
          <w:szCs w:val="20"/>
          <w:lang w:val="uk-UA"/>
        </w:rPr>
        <w:t xml:space="preserve">прогнозованість показників, </w:t>
      </w:r>
    </w:p>
    <w:p w:rsidR="00EC3F7F" w:rsidRPr="00E47E9E" w:rsidRDefault="00F67BF6" w:rsidP="00E47E9E">
      <w:pPr>
        <w:pStyle w:val="a4"/>
        <w:numPr>
          <w:ilvl w:val="0"/>
          <w:numId w:val="18"/>
        </w:numPr>
        <w:tabs>
          <w:tab w:val="left" w:pos="156"/>
        </w:tabs>
        <w:spacing w:line="237" w:lineRule="auto"/>
        <w:jc w:val="both"/>
        <w:rPr>
          <w:rFonts w:eastAsia="Times New Roman"/>
          <w:sz w:val="20"/>
          <w:szCs w:val="20"/>
        </w:rPr>
      </w:pPr>
      <w:r w:rsidRPr="00E47E9E">
        <w:rPr>
          <w:rFonts w:eastAsia="Times New Roman"/>
          <w:sz w:val="20"/>
          <w:szCs w:val="20"/>
          <w:lang w:val="uk-UA"/>
        </w:rPr>
        <w:t xml:space="preserve">високий рівень спорідненості та тотожності тощо. </w:t>
      </w:r>
    </w:p>
    <w:sectPr w:rsidR="00EC3F7F" w:rsidRPr="00E47E9E" w:rsidSect="00EC3F7F">
      <w:type w:val="continuous"/>
      <w:pgSz w:w="9640" w:h="14173"/>
      <w:pgMar w:top="563" w:right="838" w:bottom="5" w:left="850" w:header="0" w:footer="0" w:gutter="0"/>
      <w:cols w:space="720" w:equalWidth="0">
        <w:col w:w="79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24D09602"/>
    <w:lvl w:ilvl="0" w:tplc="6444FE54">
      <w:start w:val="1"/>
      <w:numFmt w:val="bullet"/>
      <w:lvlText w:val="в"/>
      <w:lvlJc w:val="left"/>
    </w:lvl>
    <w:lvl w:ilvl="1" w:tplc="A27C1638">
      <w:numFmt w:val="decimal"/>
      <w:lvlText w:val=""/>
      <w:lvlJc w:val="left"/>
    </w:lvl>
    <w:lvl w:ilvl="2" w:tplc="DADCC2E0">
      <w:numFmt w:val="decimal"/>
      <w:lvlText w:val=""/>
      <w:lvlJc w:val="left"/>
    </w:lvl>
    <w:lvl w:ilvl="3" w:tplc="80FCE640">
      <w:numFmt w:val="decimal"/>
      <w:lvlText w:val=""/>
      <w:lvlJc w:val="left"/>
    </w:lvl>
    <w:lvl w:ilvl="4" w:tplc="BF5E2FE6">
      <w:numFmt w:val="decimal"/>
      <w:lvlText w:val=""/>
      <w:lvlJc w:val="left"/>
    </w:lvl>
    <w:lvl w:ilvl="5" w:tplc="0F7201B0">
      <w:numFmt w:val="decimal"/>
      <w:lvlText w:val=""/>
      <w:lvlJc w:val="left"/>
    </w:lvl>
    <w:lvl w:ilvl="6" w:tplc="F7F28CD4">
      <w:numFmt w:val="decimal"/>
      <w:lvlText w:val=""/>
      <w:lvlJc w:val="left"/>
    </w:lvl>
    <w:lvl w:ilvl="7" w:tplc="2A882D76">
      <w:numFmt w:val="decimal"/>
      <w:lvlText w:val=""/>
      <w:lvlJc w:val="left"/>
    </w:lvl>
    <w:lvl w:ilvl="8" w:tplc="8C644272">
      <w:numFmt w:val="decimal"/>
      <w:lvlText w:val=""/>
      <w:lvlJc w:val="left"/>
    </w:lvl>
  </w:abstractNum>
  <w:abstractNum w:abstractNumId="1">
    <w:nsid w:val="00000BB3"/>
    <w:multiLevelType w:val="hybridMultilevel"/>
    <w:tmpl w:val="6454898C"/>
    <w:lvl w:ilvl="0" w:tplc="503EBFB6">
      <w:start w:val="1"/>
      <w:numFmt w:val="bullet"/>
      <w:lvlText w:val="і"/>
      <w:lvlJc w:val="left"/>
    </w:lvl>
    <w:lvl w:ilvl="1" w:tplc="283ABD8C">
      <w:numFmt w:val="decimal"/>
      <w:lvlText w:val=""/>
      <w:lvlJc w:val="left"/>
    </w:lvl>
    <w:lvl w:ilvl="2" w:tplc="33FCBC4E">
      <w:numFmt w:val="decimal"/>
      <w:lvlText w:val=""/>
      <w:lvlJc w:val="left"/>
    </w:lvl>
    <w:lvl w:ilvl="3" w:tplc="88E08356">
      <w:numFmt w:val="decimal"/>
      <w:lvlText w:val=""/>
      <w:lvlJc w:val="left"/>
    </w:lvl>
    <w:lvl w:ilvl="4" w:tplc="DB9EF36C">
      <w:numFmt w:val="decimal"/>
      <w:lvlText w:val=""/>
      <w:lvlJc w:val="left"/>
    </w:lvl>
    <w:lvl w:ilvl="5" w:tplc="19A06450">
      <w:numFmt w:val="decimal"/>
      <w:lvlText w:val=""/>
      <w:lvlJc w:val="left"/>
    </w:lvl>
    <w:lvl w:ilvl="6" w:tplc="AADC4274">
      <w:numFmt w:val="decimal"/>
      <w:lvlText w:val=""/>
      <w:lvlJc w:val="left"/>
    </w:lvl>
    <w:lvl w:ilvl="7" w:tplc="AA18D200">
      <w:numFmt w:val="decimal"/>
      <w:lvlText w:val=""/>
      <w:lvlJc w:val="left"/>
    </w:lvl>
    <w:lvl w:ilvl="8" w:tplc="D1401EBA">
      <w:numFmt w:val="decimal"/>
      <w:lvlText w:val=""/>
      <w:lvlJc w:val="left"/>
    </w:lvl>
  </w:abstractNum>
  <w:abstractNum w:abstractNumId="2">
    <w:nsid w:val="000012DB"/>
    <w:multiLevelType w:val="hybridMultilevel"/>
    <w:tmpl w:val="DEC4BEC4"/>
    <w:lvl w:ilvl="0" w:tplc="FCBA091C">
      <w:start w:val="1"/>
      <w:numFmt w:val="bullet"/>
      <w:lvlText w:val="і"/>
      <w:lvlJc w:val="left"/>
    </w:lvl>
    <w:lvl w:ilvl="1" w:tplc="F058F9E0">
      <w:numFmt w:val="decimal"/>
      <w:lvlText w:val=""/>
      <w:lvlJc w:val="left"/>
    </w:lvl>
    <w:lvl w:ilvl="2" w:tplc="985ED72E">
      <w:numFmt w:val="decimal"/>
      <w:lvlText w:val=""/>
      <w:lvlJc w:val="left"/>
    </w:lvl>
    <w:lvl w:ilvl="3" w:tplc="AFD62200">
      <w:numFmt w:val="decimal"/>
      <w:lvlText w:val=""/>
      <w:lvlJc w:val="left"/>
    </w:lvl>
    <w:lvl w:ilvl="4" w:tplc="CEC4AB92">
      <w:numFmt w:val="decimal"/>
      <w:lvlText w:val=""/>
      <w:lvlJc w:val="left"/>
    </w:lvl>
    <w:lvl w:ilvl="5" w:tplc="AFA03D64">
      <w:numFmt w:val="decimal"/>
      <w:lvlText w:val=""/>
      <w:lvlJc w:val="left"/>
    </w:lvl>
    <w:lvl w:ilvl="6" w:tplc="A91ACB7A">
      <w:numFmt w:val="decimal"/>
      <w:lvlText w:val=""/>
      <w:lvlJc w:val="left"/>
    </w:lvl>
    <w:lvl w:ilvl="7" w:tplc="9A006256">
      <w:numFmt w:val="decimal"/>
      <w:lvlText w:val=""/>
      <w:lvlJc w:val="left"/>
    </w:lvl>
    <w:lvl w:ilvl="8" w:tplc="0A4AF5B8">
      <w:numFmt w:val="decimal"/>
      <w:lvlText w:val=""/>
      <w:lvlJc w:val="left"/>
    </w:lvl>
  </w:abstractNum>
  <w:abstractNum w:abstractNumId="3">
    <w:nsid w:val="0000153C"/>
    <w:multiLevelType w:val="hybridMultilevel"/>
    <w:tmpl w:val="3BD26994"/>
    <w:lvl w:ilvl="0" w:tplc="E2544238">
      <w:start w:val="1"/>
      <w:numFmt w:val="decimal"/>
      <w:lvlText w:val="%1."/>
      <w:lvlJc w:val="left"/>
    </w:lvl>
    <w:lvl w:ilvl="1" w:tplc="ABD46A0E">
      <w:numFmt w:val="decimal"/>
      <w:lvlText w:val=""/>
      <w:lvlJc w:val="left"/>
    </w:lvl>
    <w:lvl w:ilvl="2" w:tplc="03DEB552">
      <w:numFmt w:val="decimal"/>
      <w:lvlText w:val=""/>
      <w:lvlJc w:val="left"/>
    </w:lvl>
    <w:lvl w:ilvl="3" w:tplc="7CCE688A">
      <w:numFmt w:val="decimal"/>
      <w:lvlText w:val=""/>
      <w:lvlJc w:val="left"/>
    </w:lvl>
    <w:lvl w:ilvl="4" w:tplc="E0B29DB8">
      <w:numFmt w:val="decimal"/>
      <w:lvlText w:val=""/>
      <w:lvlJc w:val="left"/>
    </w:lvl>
    <w:lvl w:ilvl="5" w:tplc="02863D00">
      <w:numFmt w:val="decimal"/>
      <w:lvlText w:val=""/>
      <w:lvlJc w:val="left"/>
    </w:lvl>
    <w:lvl w:ilvl="6" w:tplc="A104ABE4">
      <w:numFmt w:val="decimal"/>
      <w:lvlText w:val=""/>
      <w:lvlJc w:val="left"/>
    </w:lvl>
    <w:lvl w:ilvl="7" w:tplc="BC941896">
      <w:numFmt w:val="decimal"/>
      <w:lvlText w:val=""/>
      <w:lvlJc w:val="left"/>
    </w:lvl>
    <w:lvl w:ilvl="8" w:tplc="7A46503E">
      <w:numFmt w:val="decimal"/>
      <w:lvlText w:val=""/>
      <w:lvlJc w:val="left"/>
    </w:lvl>
  </w:abstractNum>
  <w:abstractNum w:abstractNumId="4">
    <w:nsid w:val="000026E9"/>
    <w:multiLevelType w:val="hybridMultilevel"/>
    <w:tmpl w:val="8CAE5C88"/>
    <w:lvl w:ilvl="0" w:tplc="546C32CE">
      <w:start w:val="1"/>
      <w:numFmt w:val="bullet"/>
      <w:lvlText w:val="а"/>
      <w:lvlJc w:val="left"/>
    </w:lvl>
    <w:lvl w:ilvl="1" w:tplc="87F081FC">
      <w:start w:val="1"/>
      <w:numFmt w:val="bullet"/>
      <w:lvlText w:val="З"/>
      <w:lvlJc w:val="left"/>
    </w:lvl>
    <w:lvl w:ilvl="2" w:tplc="2D52F3AE">
      <w:numFmt w:val="decimal"/>
      <w:lvlText w:val=""/>
      <w:lvlJc w:val="left"/>
    </w:lvl>
    <w:lvl w:ilvl="3" w:tplc="FF04E09A">
      <w:numFmt w:val="decimal"/>
      <w:lvlText w:val=""/>
      <w:lvlJc w:val="left"/>
    </w:lvl>
    <w:lvl w:ilvl="4" w:tplc="02EED39A">
      <w:numFmt w:val="decimal"/>
      <w:lvlText w:val=""/>
      <w:lvlJc w:val="left"/>
    </w:lvl>
    <w:lvl w:ilvl="5" w:tplc="7206BD7C">
      <w:numFmt w:val="decimal"/>
      <w:lvlText w:val=""/>
      <w:lvlJc w:val="left"/>
    </w:lvl>
    <w:lvl w:ilvl="6" w:tplc="C750C9A8">
      <w:numFmt w:val="decimal"/>
      <w:lvlText w:val=""/>
      <w:lvlJc w:val="left"/>
    </w:lvl>
    <w:lvl w:ilvl="7" w:tplc="B094CBF2">
      <w:numFmt w:val="decimal"/>
      <w:lvlText w:val=""/>
      <w:lvlJc w:val="left"/>
    </w:lvl>
    <w:lvl w:ilvl="8" w:tplc="BFCCAA62">
      <w:numFmt w:val="decimal"/>
      <w:lvlText w:val=""/>
      <w:lvlJc w:val="left"/>
    </w:lvl>
  </w:abstractNum>
  <w:abstractNum w:abstractNumId="5">
    <w:nsid w:val="00002EA6"/>
    <w:multiLevelType w:val="hybridMultilevel"/>
    <w:tmpl w:val="27229042"/>
    <w:lvl w:ilvl="0" w:tplc="CAF488E2">
      <w:start w:val="1"/>
      <w:numFmt w:val="bullet"/>
      <w:lvlText w:val="з"/>
      <w:lvlJc w:val="left"/>
    </w:lvl>
    <w:lvl w:ilvl="1" w:tplc="B472FC2A">
      <w:numFmt w:val="decimal"/>
      <w:lvlText w:val=""/>
      <w:lvlJc w:val="left"/>
    </w:lvl>
    <w:lvl w:ilvl="2" w:tplc="993ADA40">
      <w:numFmt w:val="decimal"/>
      <w:lvlText w:val=""/>
      <w:lvlJc w:val="left"/>
    </w:lvl>
    <w:lvl w:ilvl="3" w:tplc="55E006E6">
      <w:numFmt w:val="decimal"/>
      <w:lvlText w:val=""/>
      <w:lvlJc w:val="left"/>
    </w:lvl>
    <w:lvl w:ilvl="4" w:tplc="129AFA32">
      <w:numFmt w:val="decimal"/>
      <w:lvlText w:val=""/>
      <w:lvlJc w:val="left"/>
    </w:lvl>
    <w:lvl w:ilvl="5" w:tplc="1C369C98">
      <w:numFmt w:val="decimal"/>
      <w:lvlText w:val=""/>
      <w:lvlJc w:val="left"/>
    </w:lvl>
    <w:lvl w:ilvl="6" w:tplc="DD1C2C60">
      <w:numFmt w:val="decimal"/>
      <w:lvlText w:val=""/>
      <w:lvlJc w:val="left"/>
    </w:lvl>
    <w:lvl w:ilvl="7" w:tplc="D5D860A4">
      <w:numFmt w:val="decimal"/>
      <w:lvlText w:val=""/>
      <w:lvlJc w:val="left"/>
    </w:lvl>
    <w:lvl w:ilvl="8" w:tplc="D132E12C">
      <w:numFmt w:val="decimal"/>
      <w:lvlText w:val=""/>
      <w:lvlJc w:val="left"/>
    </w:lvl>
  </w:abstractNum>
  <w:abstractNum w:abstractNumId="6">
    <w:nsid w:val="0000390C"/>
    <w:multiLevelType w:val="hybridMultilevel"/>
    <w:tmpl w:val="DF74002A"/>
    <w:lvl w:ilvl="0" w:tplc="881E8100">
      <w:start w:val="4"/>
      <w:numFmt w:val="decimal"/>
      <w:lvlText w:val="%1."/>
      <w:lvlJc w:val="left"/>
    </w:lvl>
    <w:lvl w:ilvl="1" w:tplc="6994F0DE">
      <w:numFmt w:val="decimal"/>
      <w:lvlText w:val=""/>
      <w:lvlJc w:val="left"/>
    </w:lvl>
    <w:lvl w:ilvl="2" w:tplc="F6026E60">
      <w:numFmt w:val="decimal"/>
      <w:lvlText w:val=""/>
      <w:lvlJc w:val="left"/>
    </w:lvl>
    <w:lvl w:ilvl="3" w:tplc="FB9AF2BE">
      <w:numFmt w:val="decimal"/>
      <w:lvlText w:val=""/>
      <w:lvlJc w:val="left"/>
    </w:lvl>
    <w:lvl w:ilvl="4" w:tplc="F04C1278">
      <w:numFmt w:val="decimal"/>
      <w:lvlText w:val=""/>
      <w:lvlJc w:val="left"/>
    </w:lvl>
    <w:lvl w:ilvl="5" w:tplc="D44AB9BC">
      <w:numFmt w:val="decimal"/>
      <w:lvlText w:val=""/>
      <w:lvlJc w:val="left"/>
    </w:lvl>
    <w:lvl w:ilvl="6" w:tplc="D68A2284">
      <w:numFmt w:val="decimal"/>
      <w:lvlText w:val=""/>
      <w:lvlJc w:val="left"/>
    </w:lvl>
    <w:lvl w:ilvl="7" w:tplc="A3743E5E">
      <w:numFmt w:val="decimal"/>
      <w:lvlText w:val=""/>
      <w:lvlJc w:val="left"/>
    </w:lvl>
    <w:lvl w:ilvl="8" w:tplc="21701A68">
      <w:numFmt w:val="decimal"/>
      <w:lvlText w:val=""/>
      <w:lvlJc w:val="left"/>
    </w:lvl>
  </w:abstractNum>
  <w:abstractNum w:abstractNumId="7">
    <w:nsid w:val="000041BB"/>
    <w:multiLevelType w:val="hybridMultilevel"/>
    <w:tmpl w:val="F3605E6E"/>
    <w:lvl w:ilvl="0" w:tplc="1F8CB0EE">
      <w:start w:val="1"/>
      <w:numFmt w:val="bullet"/>
      <w:lvlText w:val="є"/>
      <w:lvlJc w:val="left"/>
    </w:lvl>
    <w:lvl w:ilvl="1" w:tplc="4DECD992">
      <w:start w:val="1"/>
      <w:numFmt w:val="bullet"/>
      <w:lvlText w:val="У"/>
      <w:lvlJc w:val="left"/>
    </w:lvl>
    <w:lvl w:ilvl="2" w:tplc="6442AC32">
      <w:numFmt w:val="decimal"/>
      <w:lvlText w:val=""/>
      <w:lvlJc w:val="left"/>
    </w:lvl>
    <w:lvl w:ilvl="3" w:tplc="6CB27446">
      <w:numFmt w:val="decimal"/>
      <w:lvlText w:val=""/>
      <w:lvlJc w:val="left"/>
    </w:lvl>
    <w:lvl w:ilvl="4" w:tplc="2384F8EC">
      <w:numFmt w:val="decimal"/>
      <w:lvlText w:val=""/>
      <w:lvlJc w:val="left"/>
    </w:lvl>
    <w:lvl w:ilvl="5" w:tplc="2CC4CA28">
      <w:numFmt w:val="decimal"/>
      <w:lvlText w:val=""/>
      <w:lvlJc w:val="left"/>
    </w:lvl>
    <w:lvl w:ilvl="6" w:tplc="12022182">
      <w:numFmt w:val="decimal"/>
      <w:lvlText w:val=""/>
      <w:lvlJc w:val="left"/>
    </w:lvl>
    <w:lvl w:ilvl="7" w:tplc="C986C606">
      <w:numFmt w:val="decimal"/>
      <w:lvlText w:val=""/>
      <w:lvlJc w:val="left"/>
    </w:lvl>
    <w:lvl w:ilvl="8" w:tplc="87F412B2">
      <w:numFmt w:val="decimal"/>
      <w:lvlText w:val=""/>
      <w:lvlJc w:val="left"/>
    </w:lvl>
  </w:abstractNum>
  <w:abstractNum w:abstractNumId="8">
    <w:nsid w:val="00005AF1"/>
    <w:multiLevelType w:val="hybridMultilevel"/>
    <w:tmpl w:val="D53C1042"/>
    <w:lvl w:ilvl="0" w:tplc="0F605D1E">
      <w:start w:val="1"/>
      <w:numFmt w:val="bullet"/>
      <w:lvlText w:val="у"/>
      <w:lvlJc w:val="left"/>
    </w:lvl>
    <w:lvl w:ilvl="1" w:tplc="DEB8F52A">
      <w:numFmt w:val="decimal"/>
      <w:lvlText w:val=""/>
      <w:lvlJc w:val="left"/>
    </w:lvl>
    <w:lvl w:ilvl="2" w:tplc="13D8C794">
      <w:numFmt w:val="decimal"/>
      <w:lvlText w:val=""/>
      <w:lvlJc w:val="left"/>
    </w:lvl>
    <w:lvl w:ilvl="3" w:tplc="0882CA42">
      <w:numFmt w:val="decimal"/>
      <w:lvlText w:val=""/>
      <w:lvlJc w:val="left"/>
    </w:lvl>
    <w:lvl w:ilvl="4" w:tplc="E118F9A6">
      <w:numFmt w:val="decimal"/>
      <w:lvlText w:val=""/>
      <w:lvlJc w:val="left"/>
    </w:lvl>
    <w:lvl w:ilvl="5" w:tplc="09D0CB48">
      <w:numFmt w:val="decimal"/>
      <w:lvlText w:val=""/>
      <w:lvlJc w:val="left"/>
    </w:lvl>
    <w:lvl w:ilvl="6" w:tplc="2D5A63B8">
      <w:numFmt w:val="decimal"/>
      <w:lvlText w:val=""/>
      <w:lvlJc w:val="left"/>
    </w:lvl>
    <w:lvl w:ilvl="7" w:tplc="2272CF60">
      <w:numFmt w:val="decimal"/>
      <w:lvlText w:val=""/>
      <w:lvlJc w:val="left"/>
    </w:lvl>
    <w:lvl w:ilvl="8" w:tplc="3B00CA1A">
      <w:numFmt w:val="decimal"/>
      <w:lvlText w:val=""/>
      <w:lvlJc w:val="left"/>
    </w:lvl>
  </w:abstractNum>
  <w:abstractNum w:abstractNumId="9">
    <w:nsid w:val="00007E87"/>
    <w:multiLevelType w:val="hybridMultilevel"/>
    <w:tmpl w:val="C0EE1A00"/>
    <w:lvl w:ilvl="0" w:tplc="C8DAFCBC">
      <w:start w:val="1"/>
      <w:numFmt w:val="decimal"/>
      <w:lvlText w:val="%1."/>
      <w:lvlJc w:val="left"/>
    </w:lvl>
    <w:lvl w:ilvl="1" w:tplc="76143A06">
      <w:numFmt w:val="decimal"/>
      <w:lvlText w:val=""/>
      <w:lvlJc w:val="left"/>
    </w:lvl>
    <w:lvl w:ilvl="2" w:tplc="420AF81C">
      <w:numFmt w:val="decimal"/>
      <w:lvlText w:val=""/>
      <w:lvlJc w:val="left"/>
    </w:lvl>
    <w:lvl w:ilvl="3" w:tplc="F886B256">
      <w:numFmt w:val="decimal"/>
      <w:lvlText w:val=""/>
      <w:lvlJc w:val="left"/>
    </w:lvl>
    <w:lvl w:ilvl="4" w:tplc="4418A200">
      <w:numFmt w:val="decimal"/>
      <w:lvlText w:val=""/>
      <w:lvlJc w:val="left"/>
    </w:lvl>
    <w:lvl w:ilvl="5" w:tplc="83D4ED30">
      <w:numFmt w:val="decimal"/>
      <w:lvlText w:val=""/>
      <w:lvlJc w:val="left"/>
    </w:lvl>
    <w:lvl w:ilvl="6" w:tplc="D86AE3BC">
      <w:numFmt w:val="decimal"/>
      <w:lvlText w:val=""/>
      <w:lvlJc w:val="left"/>
    </w:lvl>
    <w:lvl w:ilvl="7" w:tplc="3920F96E">
      <w:numFmt w:val="decimal"/>
      <w:lvlText w:val=""/>
      <w:lvlJc w:val="left"/>
    </w:lvl>
    <w:lvl w:ilvl="8" w:tplc="7328636E">
      <w:numFmt w:val="decimal"/>
      <w:lvlText w:val=""/>
      <w:lvlJc w:val="left"/>
    </w:lvl>
  </w:abstractNum>
  <w:abstractNum w:abstractNumId="10">
    <w:nsid w:val="1F4557D2"/>
    <w:multiLevelType w:val="hybridMultilevel"/>
    <w:tmpl w:val="D5DAA3B0"/>
    <w:lvl w:ilvl="0" w:tplc="0419000B">
      <w:start w:val="1"/>
      <w:numFmt w:val="bullet"/>
      <w:lvlText w:val=""/>
      <w:lvlJc w:val="left"/>
      <w:pPr>
        <w:ind w:left="10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1">
    <w:nsid w:val="27510951"/>
    <w:multiLevelType w:val="hybridMultilevel"/>
    <w:tmpl w:val="3E72F9EA"/>
    <w:lvl w:ilvl="0" w:tplc="0419000B">
      <w:start w:val="1"/>
      <w:numFmt w:val="bullet"/>
      <w:lvlText w:val=""/>
      <w:lvlJc w:val="left"/>
      <w:pPr>
        <w:ind w:left="10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2">
    <w:nsid w:val="2E6462B3"/>
    <w:multiLevelType w:val="hybridMultilevel"/>
    <w:tmpl w:val="66B828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487416"/>
    <w:multiLevelType w:val="hybridMultilevel"/>
    <w:tmpl w:val="7436B472"/>
    <w:lvl w:ilvl="0" w:tplc="0419000B">
      <w:start w:val="1"/>
      <w:numFmt w:val="bullet"/>
      <w:lvlText w:val=""/>
      <w:lvlJc w:val="left"/>
      <w:pPr>
        <w:ind w:left="10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4">
    <w:nsid w:val="389B5F5E"/>
    <w:multiLevelType w:val="hybridMultilevel"/>
    <w:tmpl w:val="B314B852"/>
    <w:lvl w:ilvl="0" w:tplc="0419000B">
      <w:start w:val="1"/>
      <w:numFmt w:val="bullet"/>
      <w:lvlText w:val=""/>
      <w:lvlJc w:val="left"/>
      <w:pPr>
        <w:ind w:left="10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5">
    <w:nsid w:val="3F5A2681"/>
    <w:multiLevelType w:val="hybridMultilevel"/>
    <w:tmpl w:val="A7CE04E8"/>
    <w:lvl w:ilvl="0" w:tplc="0419000B">
      <w:start w:val="1"/>
      <w:numFmt w:val="bullet"/>
      <w:lvlText w:val=""/>
      <w:lvlJc w:val="left"/>
      <w:pPr>
        <w:ind w:left="10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6">
    <w:nsid w:val="59E605CC"/>
    <w:multiLevelType w:val="hybridMultilevel"/>
    <w:tmpl w:val="12964F3E"/>
    <w:lvl w:ilvl="0" w:tplc="0419000B">
      <w:start w:val="1"/>
      <w:numFmt w:val="bullet"/>
      <w:lvlText w:val=""/>
      <w:lvlJc w:val="left"/>
      <w:pPr>
        <w:ind w:left="10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7">
    <w:nsid w:val="5D816CE6"/>
    <w:multiLevelType w:val="hybridMultilevel"/>
    <w:tmpl w:val="F33C0B46"/>
    <w:lvl w:ilvl="0" w:tplc="0419000B">
      <w:start w:val="1"/>
      <w:numFmt w:val="bullet"/>
      <w:lvlText w:val=""/>
      <w:lvlJc w:val="left"/>
      <w:pPr>
        <w:ind w:left="10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8">
    <w:nsid w:val="69E412D1"/>
    <w:multiLevelType w:val="hybridMultilevel"/>
    <w:tmpl w:val="FE383A42"/>
    <w:lvl w:ilvl="0" w:tplc="0419000B">
      <w:start w:val="1"/>
      <w:numFmt w:val="bullet"/>
      <w:lvlText w:val=""/>
      <w:lvlJc w:val="left"/>
      <w:pPr>
        <w:ind w:left="10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9">
    <w:nsid w:val="71604812"/>
    <w:multiLevelType w:val="hybridMultilevel"/>
    <w:tmpl w:val="117C4464"/>
    <w:lvl w:ilvl="0" w:tplc="0419000B">
      <w:start w:val="1"/>
      <w:numFmt w:val="bullet"/>
      <w:lvlText w:val=""/>
      <w:lvlJc w:val="left"/>
      <w:pPr>
        <w:ind w:left="10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0">
    <w:nsid w:val="72806152"/>
    <w:multiLevelType w:val="hybridMultilevel"/>
    <w:tmpl w:val="920EAE90"/>
    <w:lvl w:ilvl="0" w:tplc="0419000B">
      <w:start w:val="1"/>
      <w:numFmt w:val="bullet"/>
      <w:lvlText w:val="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1">
    <w:nsid w:val="7EF12E98"/>
    <w:multiLevelType w:val="hybridMultilevel"/>
    <w:tmpl w:val="5FAA7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16"/>
  </w:num>
  <w:num w:numId="12">
    <w:abstractNumId w:val="11"/>
  </w:num>
  <w:num w:numId="13">
    <w:abstractNumId w:val="17"/>
  </w:num>
  <w:num w:numId="14">
    <w:abstractNumId w:val="20"/>
  </w:num>
  <w:num w:numId="15">
    <w:abstractNumId w:val="21"/>
  </w:num>
  <w:num w:numId="16">
    <w:abstractNumId w:val="13"/>
  </w:num>
  <w:num w:numId="17">
    <w:abstractNumId w:val="10"/>
  </w:num>
  <w:num w:numId="18">
    <w:abstractNumId w:val="12"/>
  </w:num>
  <w:num w:numId="19">
    <w:abstractNumId w:val="18"/>
  </w:num>
  <w:num w:numId="20">
    <w:abstractNumId w:val="14"/>
  </w:num>
  <w:num w:numId="21">
    <w:abstractNumId w:val="1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EA"/>
    <w:rsid w:val="00194A72"/>
    <w:rsid w:val="002027F7"/>
    <w:rsid w:val="00241FCD"/>
    <w:rsid w:val="00382BAB"/>
    <w:rsid w:val="00431B51"/>
    <w:rsid w:val="004C74D2"/>
    <w:rsid w:val="005471EF"/>
    <w:rsid w:val="006A5DC9"/>
    <w:rsid w:val="006F7413"/>
    <w:rsid w:val="0078474E"/>
    <w:rsid w:val="0087002E"/>
    <w:rsid w:val="009134EA"/>
    <w:rsid w:val="00933E0E"/>
    <w:rsid w:val="009612D4"/>
    <w:rsid w:val="00B6133D"/>
    <w:rsid w:val="00B71753"/>
    <w:rsid w:val="00BA1081"/>
    <w:rsid w:val="00D84436"/>
    <w:rsid w:val="00E47E9E"/>
    <w:rsid w:val="00EC3F7F"/>
    <w:rsid w:val="00F67BF6"/>
    <w:rsid w:val="00F85822"/>
    <w:rsid w:val="00F9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67B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67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1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3337</Words>
  <Characters>19027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2022-04-29T06:40:00Z</dcterms:created>
  <dcterms:modified xsi:type="dcterms:W3CDTF">2022-04-29T06:40:00Z</dcterms:modified>
</cp:coreProperties>
</file>