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4769" w:leader="none"/>
        </w:tabs>
        <w:spacing w:before="0" w:after="0"/>
        <w:ind w:hanging="0"/>
        <w:rPr>
          <w:color w:val="C9211E"/>
        </w:rPr>
      </w:pPr>
      <w:r>
        <w:rPr>
          <w:rFonts w:eastAsia="Times New Roman" w:cs="Times New Roman" w:ascii="Times New Roman" w:hAnsi="Times New Roman"/>
          <w:i w:val="false"/>
          <w:iCs w:val="false"/>
          <w:color w:val="C9211E"/>
          <w:sz w:val="18"/>
          <w:szCs w:val="18"/>
        </w:rPr>
        <w:t>Артемьева О.В., Ганковская Л.В. Воспалительное старение как основа возраст-ассоциированной</w:t>
      </w:r>
      <w:r>
        <w:rPr>
          <w:rFonts w:eastAsia="Times New Roman" w:cs="Times New Roman" w:ascii="Times New Roman" w:hAnsi="Times New Roman"/>
          <w:i w:val="false"/>
          <w:iCs w:val="false"/>
          <w:color w:val="C9211E"/>
          <w:sz w:val="20"/>
          <w:szCs w:val="20"/>
        </w:rPr>
        <w:t xml:space="preserve"> </w:t>
      </w:r>
      <w:r>
        <w:rPr>
          <w:rFonts w:eastAsia="Times New Roman" w:cs="Times New Roman" w:ascii="Times New Roman" w:hAnsi="Times New Roman"/>
          <w:i w:val="false"/>
          <w:iCs w:val="false"/>
          <w:color w:val="C9211E"/>
          <w:sz w:val="18"/>
          <w:szCs w:val="18"/>
        </w:rPr>
        <w:t xml:space="preserve">патологии. </w:t>
      </w:r>
      <w:r>
        <w:rPr>
          <w:rFonts w:eastAsia="Times New Roman" w:cs="Times New Roman" w:ascii="Times New Roman" w:hAnsi="Times New Roman"/>
          <w:i/>
          <w:iCs/>
          <w:color w:val="C9211E"/>
          <w:sz w:val="18"/>
          <w:szCs w:val="18"/>
        </w:rPr>
        <w:t>Медицинская иммунология</w:t>
      </w:r>
      <w:r>
        <w:rPr>
          <w:rFonts w:eastAsia="Times New Roman" w:cs="Times New Roman" w:ascii="Times New Roman" w:hAnsi="Times New Roman"/>
          <w:i w:val="false"/>
          <w:iCs w:val="false"/>
          <w:color w:val="C9211E"/>
          <w:sz w:val="18"/>
          <w:szCs w:val="18"/>
        </w:rPr>
        <w:t>, 2020. Т. 22, № 3. С. 419-432.doi: 10.15789/1563-0625-IAT-1938</w:t>
      </w:r>
    </w:p>
    <w:p>
      <w:pPr>
        <w:pStyle w:val="Normal"/>
        <w:tabs>
          <w:tab w:val="clear" w:pos="720"/>
          <w:tab w:val="left" w:pos="4769" w:leader="none"/>
        </w:tabs>
        <w:spacing w:before="0" w:after="0"/>
        <w:ind w:left="9" w:hanging="0"/>
        <w:rPr>
          <w:rFonts w:ascii="Times New Roman" w:hAnsi="Times New Roman" w:eastAsia="Times New Roman" w:cs="Times New Roman"/>
          <w:i/>
          <w:i/>
          <w:iCs/>
          <w:color w:val="auto"/>
          <w:sz w:val="18"/>
          <w:szCs w:val="18"/>
        </w:rPr>
      </w:pPr>
      <w:r>
        <w:rPr>
          <w:rFonts w:eastAsia="Times New Roman" w:cs="Times New Roman" w:ascii="Times New Roman" w:hAnsi="Times New Roman"/>
          <w:i/>
          <w:iCs/>
          <w:color w:val="auto"/>
          <w:sz w:val="18"/>
          <w:szCs w:val="18"/>
        </w:rPr>
      </w:r>
    </w:p>
    <w:p>
      <w:pPr>
        <w:pStyle w:val="Normal"/>
        <w:widowControl/>
        <w:tabs>
          <w:tab w:val="clear" w:pos="720"/>
          <w:tab w:val="left" w:pos="4769" w:leader="none"/>
        </w:tabs>
        <w:bidi w:val="0"/>
        <w:spacing w:lineRule="auto" w:line="300" w:before="0" w:after="0"/>
        <w:ind w:hanging="0"/>
        <w:jc w:val="both"/>
        <w:rPr/>
      </w:pPr>
      <w:r>
        <w:rPr>
          <w:rFonts w:eastAsia="Times New Roman" w:cs="Times New Roman" w:ascii="Times New Roman" w:hAnsi="Times New Roman"/>
          <w:b/>
          <w:bCs/>
          <w:i/>
          <w:iCs/>
          <w:color w:val="auto"/>
          <w:sz w:val="18"/>
          <w:szCs w:val="18"/>
        </w:rPr>
        <w:t>OV Artemyeva, LV Gankovskaya “Inflammaging as the</w:t>
      </w:r>
      <w:r>
        <w:rPr>
          <w:rFonts w:eastAsia="Times New Roman" w:cs="Times New Roman" w:ascii="Times New Roman" w:hAnsi="Times New Roman"/>
          <w:b/>
          <w:bCs/>
          <w:i/>
          <w:iCs/>
          <w:color w:val="auto"/>
          <w:sz w:val="20"/>
          <w:szCs w:val="20"/>
        </w:rPr>
        <w:t xml:space="preserve"> </w:t>
      </w:r>
      <w:r>
        <w:rPr>
          <w:rFonts w:eastAsia="Times New Roman" w:cs="Times New Roman" w:ascii="Times New Roman" w:hAnsi="Times New Roman"/>
          <w:b/>
          <w:bCs/>
          <w:i/>
          <w:iCs/>
          <w:color w:val="auto"/>
          <w:sz w:val="18"/>
          <w:szCs w:val="18"/>
        </w:rPr>
        <w:t>basis of age-associated diseases”, Medical Immunology</w:t>
      </w:r>
      <w:r>
        <w:rPr>
          <w:rFonts w:eastAsia="Times New Roman" w:cs="Times New Roman" w:ascii="Times New Roman" w:hAnsi="Times New Roman"/>
          <w:b/>
          <w:bCs/>
          <w:i/>
          <w:iCs/>
          <w:color w:val="auto"/>
          <w:sz w:val="20"/>
          <w:szCs w:val="20"/>
        </w:rPr>
        <w:t xml:space="preserve"> </w:t>
      </w:r>
      <w:r>
        <w:rPr>
          <w:rFonts w:eastAsia="Times New Roman" w:cs="Times New Roman" w:ascii="Times New Roman" w:hAnsi="Times New Roman"/>
          <w:b/>
          <w:bCs/>
          <w:i/>
          <w:iCs/>
          <w:color w:val="auto"/>
          <w:sz w:val="18"/>
          <w:szCs w:val="18"/>
        </w:rPr>
        <w:t>(Russia)/Meditsinska Immunologiya, 2020, Vol. 22, no. 3,</w:t>
      </w:r>
      <w:r>
        <w:rPr>
          <w:rFonts w:eastAsia="Times New Roman" w:cs="Times New Roman" w:ascii="Times New Roman" w:hAnsi="Times New Roman"/>
          <w:b/>
          <w:bCs/>
          <w:i/>
          <w:iCs/>
          <w:color w:val="auto"/>
          <w:sz w:val="20"/>
          <w:szCs w:val="20"/>
        </w:rPr>
        <w:t xml:space="preserve"> </w:t>
      </w:r>
      <w:r>
        <w:rPr>
          <w:rFonts w:eastAsia="Times New Roman" w:cs="Times New Roman" w:ascii="Times New Roman" w:hAnsi="Times New Roman"/>
          <w:b/>
          <w:bCs/>
          <w:i/>
          <w:iCs/>
          <w:color w:val="auto"/>
          <w:sz w:val="18"/>
          <w:szCs w:val="18"/>
        </w:rPr>
        <w:t>pp. 419-432.</w:t>
      </w:r>
      <w:r>
        <w:rPr>
          <w:rFonts w:eastAsia="Times New Roman" w:cs="Times New Roman" w:ascii="Times New Roman" w:hAnsi="Times New Roman"/>
          <w:b/>
          <w:bCs/>
          <w:color w:val="auto"/>
          <w:sz w:val="18"/>
          <w:szCs w:val="18"/>
        </w:rPr>
        <w:t>DOI: 10.15789/1563-0625-IAT-1938</w:t>
      </w:r>
    </w:p>
    <w:p>
      <w:pPr>
        <w:pStyle w:val="Normal"/>
        <w:widowControl/>
        <w:bidi w:val="0"/>
        <w:spacing w:lineRule="auto" w:line="300" w:before="0" w:after="0"/>
        <w:ind w:left="0" w:right="0" w:hanging="0"/>
        <w:jc w:val="both"/>
        <w:rPr>
          <w:sz w:val="28"/>
          <w:szCs w:val="28"/>
        </w:rPr>
      </w:pPr>
      <w:r>
        <w:rPr>
          <w:rFonts w:eastAsia="Arial" w:cs="Arial" w:ascii="Arial" w:hAnsi="Arial"/>
          <w:b/>
          <w:bCs/>
          <w:color w:val="auto"/>
          <w:sz w:val="28"/>
          <w:szCs w:val="28"/>
        </w:rPr>
        <w:t>ЗАПАЛЬНЕ СТАРІННЯ ЯК ОСНОВА ВІК-АСОЦІЙОВАНОЇ ПАТОЛОГІЇ</w:t>
      </w:r>
    </w:p>
    <w:p>
      <w:pPr>
        <w:pStyle w:val="Normal"/>
        <w:spacing w:before="0" w:after="0"/>
        <w:ind w:left="9" w:hanging="0"/>
        <w:rPr>
          <w:sz w:val="28"/>
          <w:szCs w:val="28"/>
        </w:rPr>
      </w:pPr>
      <w:r>
        <mc:AlternateContent>
          <mc:Choice Requires="wps">
            <w:drawing>
              <wp:anchor behindDoc="1" distT="0" distB="0" distL="0" distR="0" simplePos="0" locked="0" layoutInCell="1" allowOverlap="1" relativeHeight="4">
                <wp:simplePos x="0" y="0"/>
                <wp:positionH relativeFrom="column">
                  <wp:posOffset>0</wp:posOffset>
                </wp:positionH>
                <wp:positionV relativeFrom="paragraph">
                  <wp:posOffset>111125</wp:posOffset>
                </wp:positionV>
                <wp:extent cx="6086475" cy="3175"/>
                <wp:effectExtent l="0" t="0" r="0" b="0"/>
                <wp:wrapNone/>
                <wp:docPr id="1" name="Shape 3"/>
                <a:graphic xmlns:a="http://schemas.openxmlformats.org/drawingml/2006/main">
                  <a:graphicData uri="http://schemas.microsoft.com/office/word/2010/wordprocessingShape">
                    <wps:wsp>
                      <wps:cNvSpPr/>
                      <wps:spPr>
                        <a:xfrm>
                          <a:off x="0" y="0"/>
                          <a:ext cx="6085800" cy="504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8.6pt" to="479.15pt,8.95pt" ID="Shape 3" stroked="t" style="position:absolute">
                <v:stroke color="black" weight="6480" joinstyle="miter" endcap="flat"/>
                <v:fill o:detectmouseclick="t" on="false"/>
              </v:line>
            </w:pict>
          </mc:Fallback>
        </mc:AlternateContent>
      </w:r>
      <w:r>
        <w:rPr>
          <w:rFonts w:eastAsia="Times New Roman" w:cs="Times New Roman" w:ascii="Times New Roman" w:hAnsi="Times New Roman"/>
          <w:b/>
          <w:bCs/>
          <w:color w:val="auto"/>
          <w:sz w:val="28"/>
          <w:szCs w:val="28"/>
        </w:rPr>
        <w:t>Артем'єва О.В., Ганковська Л.В.</w:t>
      </w:r>
    </w:p>
    <w:p>
      <w:pPr>
        <w:pStyle w:val="Normal"/>
        <w:spacing w:before="0" w:after="0"/>
        <w:ind w:left="9" w:hanging="0"/>
        <w:rPr>
          <w:rFonts w:ascii="Times New Roman" w:hAnsi="Times New Roman" w:eastAsia="Times New Roman" w:cs="Times New Roman"/>
          <w:b/>
          <w:b/>
          <w:bCs/>
          <w:color w:val="auto"/>
          <w:sz w:val="30"/>
          <w:szCs w:val="30"/>
        </w:rPr>
      </w:pPr>
      <w:r>
        <w:rPr>
          <w:rFonts w:eastAsia="Times New Roman" w:cs="Times New Roman" w:ascii="Times New Roman" w:hAnsi="Times New Roman"/>
          <w:b/>
          <w:bCs/>
          <w:color w:val="auto"/>
          <w:sz w:val="30"/>
          <w:szCs w:val="30"/>
        </w:rPr>
      </w:r>
    </w:p>
    <w:p>
      <w:pPr>
        <w:pStyle w:val="Normal"/>
        <w:spacing w:lineRule="auto" w:line="240" w:before="0" w:after="0"/>
        <w:ind w:left="9" w:right="40" w:hanging="0"/>
        <w:jc w:val="both"/>
        <w:rPr/>
      </w:pPr>
      <w:r>
        <w:rPr>
          <w:rFonts w:eastAsia="Times New Roman" w:cs="Times New Roman" w:ascii="Times New Roman" w:hAnsi="Times New Roman"/>
          <w:b/>
          <w:bCs/>
          <w:color w:val="auto"/>
          <w:sz w:val="20"/>
          <w:szCs w:val="20"/>
        </w:rPr>
        <w:t xml:space="preserve">Резюме </w:t>
      </w:r>
      <w:r>
        <w:rPr>
          <w:rFonts w:eastAsia="Times New Roman" w:cs="Times New Roman" w:ascii="Times New Roman" w:hAnsi="Times New Roman"/>
          <w:color w:val="auto"/>
          <w:sz w:val="20"/>
          <w:szCs w:val="20"/>
        </w:rPr>
        <w:t>Старіння є одним із найскладніших біологічних явищ, яке зачіпає всі фізіологічні системи організму людини, у тому числі імунну систему. Під імуностарінням розуміють структурні та функціональні зміни як системи адаптивного, так системи вродженого імунітету. Одним із проявів імуностаріння є так зване запальне старіння (inflammaging) – вікове підвищення запальних медіаторів та розвиток запального фенотипу. Важливу роль у формуванні "inflammaging" відводять хронічній стимуляції імунної системи екзогенними та ендогенними сигналами патогенності та небезпеки (PAMP та DAMP), серед яких основними є віруси, мікробіоти шлунково-кишкового тракту, вільні радикали та ін. Розпізнавання PAMP і DAMP здійснюється клітинами системи вродженого імунітету за допомогою паттерн-розпізнаючих рецепторів (PRR), які включають Toll-подібні рецептори (TLR), RIG-I-подібні рецептори (RLR), NOD-подібні рецептори (NLR), лектинові рецептори . Cтимуляція PRR призводить до активації внутрішньоклітинного сигналінгу та посилення експресії прозапальних факторів. PAMP є найбільш сильними активаторами патерн-розпізнаючих рецепторів та пусковими факторами запалення, DAMP можуть активувати ті ж рецептори та сигнальні шляхи, викликаючи розвиток стерильної запальної реакції. NF- Cтимуляція PRR призводить до активації внутрішньоклітинного сигналінгу та посилення експресії прозапальних факторів. PAMP є найбільш сильними активаторами патерн-розпізнаючих рецепторів та пусковими факторами запалення, DAMP можуть активувати ті ж рецептори та сигнальні шляхи, викликаючи розвиток стерильної запальної реакції. NF- Cтимуляція PRR призводить до активації внутрішньоклітинного сигналінгу та посилення експресії прозапальних факторів. PAMP є найбільш сильними активаторами патерн-розпізнаючих рецепторів та пусковими факторами запалення, DAMP можуть активувати ті ж рецептори та сигнальні шляхи, викликаючи розвиток стерильної запальної реакції. NF-</w:t>
      </w:r>
      <w:r>
        <w:rPr>
          <w:rFonts w:eastAsia="Arial" w:cs="Arial" w:ascii="Arial" w:hAnsi="Arial"/>
          <w:color w:val="auto"/>
          <w:sz w:val="20"/>
          <w:szCs w:val="20"/>
        </w:rPr>
        <w:t>k</w:t>
      </w:r>
      <w:r>
        <w:rPr>
          <w:rFonts w:eastAsia="Times New Roman" w:cs="Times New Roman" w:ascii="Times New Roman" w:hAnsi="Times New Roman"/>
          <w:color w:val="auto"/>
          <w:sz w:val="20"/>
          <w:szCs w:val="20"/>
        </w:rPr>
        <w:t>B-сигнальний шлях розглядається як ключовий сигнальний шлях розвитку "inflammaging". Стимуляція NLR також призводить до утворення інфламасоми, однією з функцій якої є процесинг прозапальних цитокінів до біологічно активної форми, що є важливим фактором формування прозапального фенотипу та розвитку "inflammaging". "Inflammaging" вважається важливим фактором ризику захворюваності та смертності серед людей похилого віку. Хронічне запалення лежить в основі патогенезу багатьох вік-асоційованих захворювань, таких як остеопороз, атеросклероз, хвороба Альцгеймера, хвороба Паркінсона, цукровий діабет 2 типу. Оскільки різні хронічні захворювання, пов'язані з віком, безпосередньо пов'язані з PAMP- та DAMP-індукованою TLR або NLRP3-опосередкованою запальною відповіддю, ці ліганди та їх рецептори можуть розглядатися як біомаркери та інтервенційні мішені при віковій патології. Незважаючи на численні дослідження при вік-асоційованих патологіях, дослідження вкладу компонентів уродженого імунітету при здоровому старінні недостатні. Залишається неясним, чи запальний фе-нотип є проявом здорового старіння або асоційований з розвитком вікової патології. Подальше вивчення механізмів запального старіння дозволить виявити біомаркери здорового старіння та потенційні мішені для терапії вік-асоційованих захворювань. Дослідження вкладу компонентів вродженого імунітету при здоровому старінні є недостатніми. Залишається неясним, чи запальний фе-нотип є проявом здорового старіння або асоційований з розвитком вікової патології. Подальше вивчення механізмів запального старіння дозволить виявити біомаркери здорового старіння та потенційні мішені для терапії вік-асоційованих захворювань. Дослідження вкладу компонентів вродженого імунітету при здоровому старінні є недостатніми. Залишається неясним, чи запальний фе-нотип є проявом здорового старіння або асоційований з розвитком вікової патології. Подальше вивчення механізмів запального старіння дозволить виявити біомаркери здорового старіння та потенційні мішені для терапії вік-асоційованих захворювань.</w:t>
      </w:r>
    </w:p>
    <w:p>
      <w:pPr>
        <w:pStyle w:val="Normal"/>
        <w:spacing w:lineRule="auto" w:line="240" w:before="0" w:after="0"/>
        <w:ind w:left="9" w:right="40" w:firstLine="283"/>
        <w:jc w:val="both"/>
        <w:rPr/>
      </w:pPr>
      <w:r>
        <w:rPr>
          <w:rFonts w:eastAsia="Times New Roman" w:cs="Times New Roman" w:ascii="Times New Roman" w:hAnsi="Times New Roman"/>
          <w:i/>
          <w:iCs/>
          <w:color w:val="auto"/>
          <w:sz w:val="18"/>
          <w:szCs w:val="18"/>
        </w:rPr>
        <w:t>Ключові слова: запальне старіння, вроджений імунітет, PAMP, DAMP, TLR, інфламасома, прозапальні цитокіни, вік-асоційовані захворювання</w:t>
      </w:r>
    </w:p>
    <w:p>
      <w:pPr>
        <w:pStyle w:val="Normal"/>
        <w:widowControl/>
        <w:bidi w:val="0"/>
        <w:spacing w:lineRule="auto" w:line="235" w:before="0" w:after="0"/>
        <w:ind w:left="0" w:right="0" w:hanging="0"/>
        <w:jc w:val="both"/>
        <w:rPr>
          <w:rFonts w:ascii="Times New Roman" w:hAnsi="Times New Roman" w:eastAsia="Times New Roman" w:cs="Times New Roman"/>
          <w:i/>
          <w:i/>
          <w:iCs/>
          <w:color w:val="auto"/>
          <w:sz w:val="18"/>
          <w:szCs w:val="18"/>
        </w:rPr>
      </w:pPr>
      <w:r>
        <w:rPr>
          <w:rFonts w:eastAsia="Times New Roman" w:cs="Times New Roman" w:ascii="Times New Roman" w:hAnsi="Times New Roman"/>
          <w:i/>
          <w:iCs/>
          <w:color w:val="auto"/>
          <w:sz w:val="18"/>
          <w:szCs w:val="18"/>
        </w:rPr>
      </w:r>
    </w:p>
    <w:p>
      <w:pPr>
        <w:pStyle w:val="Normal"/>
        <w:widowControl/>
        <w:bidi w:val="0"/>
        <w:spacing w:lineRule="auto" w:line="235" w:before="0" w:after="0"/>
        <w:ind w:left="0" w:right="0" w:firstLine="283"/>
        <w:jc w:val="both"/>
        <w:rPr/>
      </w:pPr>
      <w:r>
        <w:rPr>
          <w:rFonts w:eastAsia="Times New Roman" w:cs="Times New Roman" w:ascii="Times New Roman" w:hAnsi="Times New Roman"/>
          <w:color w:val="auto"/>
          <w:sz w:val="20"/>
          <w:szCs w:val="20"/>
        </w:rPr>
        <w:t>Збільшення тривалості життя і суттєве збільшення частки людей похилого віку в структурі населення викликає величезний інтерес при вивченні фундаментальних механізмів старіння та біологічних факторів, що визначають тривалість життя. Старіння є одним із найскладніших біологічних явищ, яке зачіпає всі фізіологічні системи організму. Одна з фізіологічних систем, яка зазнає виражених змін під час старіння, – це імунна система.</w:t>
      </w:r>
    </w:p>
    <w:p>
      <w:pPr>
        <w:pStyle w:val="Normal"/>
        <w:widowControl/>
        <w:bidi w:val="0"/>
        <w:spacing w:lineRule="auto" w:line="235" w:before="0" w:after="0"/>
        <w:ind w:left="0" w:right="0" w:firstLine="283"/>
        <w:jc w:val="both"/>
        <w:rPr/>
      </w:pPr>
      <w:r>
        <w:rPr>
          <w:rFonts w:eastAsia="Times New Roman" w:cs="Times New Roman" w:ascii="Times New Roman" w:hAnsi="Times New Roman"/>
          <w:color w:val="auto"/>
          <w:sz w:val="20"/>
          <w:szCs w:val="20"/>
        </w:rPr>
        <w:t>У 1969 року американський учений R. Walford запропонував імунологічну теорію старіння, за якою старіння обумовлено віковими змінами імунної системи. Найважливіше становище цієї теорії свідчить, що час настання старості генетично запрограмовано кожному за індивідуума. Другий постулат припускає, що старіння є відображенням генетично запрограмованого спаду імунної функції. Таким чином, імунологічна теорія старіння визнає первинність впливу порушень в імунній системі на розвиток процесу старіння та часу настання старості.</w:t>
      </w:r>
    </w:p>
    <w:p>
      <w:pPr>
        <w:pStyle w:val="Normal"/>
        <w:widowControl/>
        <w:bidi w:val="0"/>
        <w:spacing w:lineRule="auto" w:line="235" w:before="0" w:after="0"/>
        <w:ind w:left="0" w:right="0" w:firstLine="283"/>
        <w:jc w:val="both"/>
        <w:rPr/>
      </w:pPr>
      <w:r>
        <w:rPr>
          <w:rFonts w:eastAsia="Times New Roman" w:cs="Times New Roman" w:ascii="Times New Roman" w:hAnsi="Times New Roman"/>
          <w:color w:val="auto"/>
          <w:sz w:val="20"/>
          <w:szCs w:val="20"/>
        </w:rPr>
        <w:t>R. Walford ввів широко використовуваний в даний час термін "immunosenescence" (імуностаріння), з моменту введення якого переважна думка полягала в тому, що стан імуностаріння визначають зміни, що відбуваються в адаптивній імунній системі. Проте з 1980-х років було визнано, що система вродженого імунітету також зазнає змін при старінні. Сьогодні під імуностарінням розуміють структурні і функціональні зміни, які зачіпають як систему адаптивного, і систему вродженого імунітету.</w:t>
      </w:r>
    </w:p>
    <w:p>
      <w:pPr>
        <w:pStyle w:val="Normal"/>
        <w:widowControl/>
        <w:bidi w:val="0"/>
        <w:spacing w:lineRule="auto" w:line="235" w:before="0" w:after="0"/>
        <w:ind w:left="0" w:right="0" w:firstLine="283"/>
        <w:jc w:val="both"/>
        <w:rPr/>
      </w:pPr>
      <w:r>
        <w:rPr>
          <w:rFonts w:eastAsia="Times New Roman" w:cs="Times New Roman" w:ascii="Times New Roman" w:hAnsi="Times New Roman"/>
          <w:color w:val="auto"/>
          <w:sz w:val="20"/>
          <w:szCs w:val="20"/>
        </w:rPr>
        <w:t>В 2000 італійськими імунологами на чолі з C. Franceschi була висунута одна з останніх теорій старіння - теорія "inflammaging" [25]. Поняття “inflammaging” (запальне старіння) є об'єднання італійськими дослідниками 2-х термінів: «запалення» (inflammation) і «старіння» (aging). Відповідно до теорії "inflammaging", звичайним проявом старіння є хронічне запалення низького рівня без ознак явної інфекції, так зване стерильне запалення.</w:t>
      </w:r>
    </w:p>
    <w:p>
      <w:pPr>
        <w:pStyle w:val="Normal"/>
        <w:widowControl/>
        <w:bidi w:val="0"/>
        <w:spacing w:lineRule="auto" w:line="235" w:before="0" w:after="0"/>
        <w:ind w:left="0" w:right="0" w:firstLine="283"/>
        <w:jc w:val="both"/>
        <w:rPr/>
      </w:pPr>
      <w:r>
        <w:rPr>
          <w:rFonts w:eastAsia="Times New Roman" w:cs="Times New Roman" w:ascii="Times New Roman" w:hAnsi="Times New Roman"/>
          <w:color w:val="auto"/>
          <w:sz w:val="20"/>
          <w:szCs w:val="20"/>
        </w:rPr>
        <w:t>"Inflammaging" спочатку було визначено як загальне зниження здатності справлятися з різними стресорами, що супроводжується формуванням у людей похилого віку про запальний статус. Так званий прозапальний статус, або прозапальний фенотип, є 2-4-кратним збільшенням вмісту в крові різних запальних медіаторів: прозапальних цитокінів, факторів коагуляції, простагландинів, лейкотрієнів, білків гострої фази запалення. Показано, що люди похилого віку мають підвищені рівні прозапальних цитокінів, факторів згортання крові, білків гострої фази в циркуляції [11, 55]. Поки що немає єдиної думки щодо конкретного біомаркеру “inflammaging”. Однак підвищені рівні С-реактивного білка та прозапальних цитокінів, таких як IL-6, зазвичай використовуються як індикатори [64].</w:t>
      </w:r>
    </w:p>
    <w:p>
      <w:pPr>
        <w:pStyle w:val="Normal"/>
        <w:widowControl/>
        <w:bidi w:val="0"/>
        <w:spacing w:lineRule="auto" w:line="235" w:before="0" w:after="0"/>
        <w:ind w:left="0" w:right="0" w:firstLine="283"/>
        <w:jc w:val="both"/>
        <w:rPr/>
      </w:pPr>
      <w:r>
        <w:rPr>
          <w:rFonts w:eastAsia="Times New Roman" w:cs="Times New Roman" w:ascii="Times New Roman" w:hAnsi="Times New Roman"/>
          <w:color w:val="auto"/>
          <w:sz w:val="20"/>
          <w:szCs w:val="20"/>
        </w:rPr>
        <w:t>На сьогоднішній день розглядаються різні джерела та шляхи формування “inflammaging”. Хронічна стимуляція імунної системи вірусами, такими як цитомегаловірус, є однією з рушійних сил “inflammaging”, оскільки це викликає продукцію прозапальних цитокінів клітинами системи як уродженого, так і адаптивного імунітету [70]. Крім того, вікові зміни адаптивної імунної системи зменшують здатність ефективно стримувати вірусні інфекції та усувати інші антигени, тим самим продовжуючи тривалість вродженої імунної відповіді та її несприятливі наслідки [18].</w:t>
      </w:r>
    </w:p>
    <w:p>
      <w:pPr>
        <w:pStyle w:val="Normal"/>
        <w:widowControl/>
        <w:bidi w:val="0"/>
        <w:spacing w:lineRule="auto" w:line="235" w:before="0" w:after="0"/>
        <w:ind w:left="0" w:right="0" w:firstLine="283"/>
        <w:jc w:val="both"/>
        <w:rPr/>
      </w:pPr>
      <w:r>
        <w:rPr>
          <w:rFonts w:eastAsia="Times New Roman" w:cs="Times New Roman" w:ascii="Times New Roman" w:hAnsi="Times New Roman"/>
          <w:color w:val="auto"/>
          <w:sz w:val="20"/>
          <w:szCs w:val="20"/>
        </w:rPr>
        <w:t>Джерелом “inflammaging” можуть бути шкідливі продукти, вироблені мікробними компонентами організму людини, такі як мікробіота ротової порожнини та кишкова мікробіота, які можуть проникати в оточуючі тканини та кровотік. Це з віковим порушенням цілісності кишкового епітеліального бар'єру, що робить його менш ефективним при стримуванні зростання бактерій і призводить до розвитку хронічного запалення [53]. З іншого боку, склад мікробіоти кишечника змінюється з віком, і мікроби, присутні у кишечнику старих людей, можуть викликати запальну реакцію [36].</w:t>
      </w:r>
    </w:p>
    <w:p>
      <w:pPr>
        <w:pStyle w:val="Normal"/>
        <w:widowControl/>
        <w:bidi w:val="0"/>
        <w:spacing w:lineRule="auto" w:line="235" w:before="0" w:after="0"/>
        <w:ind w:left="0" w:right="0" w:firstLine="283"/>
        <w:jc w:val="both"/>
        <w:rPr/>
      </w:pPr>
      <w:r>
        <w:rPr>
          <w:rFonts w:eastAsia="Times New Roman" w:cs="Times New Roman" w:ascii="Times New Roman" w:hAnsi="Times New Roman"/>
          <w:color w:val="auto"/>
          <w:sz w:val="20"/>
          <w:szCs w:val="20"/>
        </w:rPr>
        <w:t>"Inflammaging" може бути також викликане клітинним старінням, яке є відповіддю клітини на пошкодження та стрес і пов'язане з накопиченням старіючих (сенесцентних) клітин. Вважається, що ці клітини призводять до старіння та вікової патології через свій асоційований зі старінням секреторний фенотип, продукуючи ряд прозапальних цитокінів. Старіючі клітини накопичуються з віком у багатьох тканинах і виявляються за багатьох вікових патологій [26].</w:t>
      </w:r>
    </w:p>
    <w:p>
      <w:pPr>
        <w:pStyle w:val="Normal"/>
        <w:widowControl/>
        <w:bidi w:val="0"/>
        <w:spacing w:lineRule="auto" w:line="235" w:before="0" w:after="0"/>
        <w:ind w:left="0" w:right="0" w:firstLine="283"/>
        <w:jc w:val="both"/>
        <w:rPr/>
      </w:pPr>
      <w:r>
        <w:rPr>
          <w:rFonts w:eastAsia="Times New Roman" w:cs="Times New Roman" w:ascii="Times New Roman" w:hAnsi="Times New Roman"/>
          <w:color w:val="auto"/>
          <w:sz w:val="20"/>
          <w:szCs w:val="20"/>
        </w:rPr>
        <w:t>"Inflammaging" може бути обумовлено накопиченням жирової тканини, оскільки збільшення рівня лептину в умовах ожиріння веде до синтезу IL-6, IL-12 та TNF.</w:t>
      </w:r>
      <w:r>
        <w:rPr>
          <w:rFonts w:eastAsia="Arial" w:cs="Arial" w:ascii="Arial" w:hAnsi="Arial"/>
          <w:color w:val="auto"/>
          <w:sz w:val="20"/>
          <w:szCs w:val="20"/>
        </w:rPr>
        <w:t>α</w:t>
      </w:r>
      <w:r>
        <w:rPr>
          <w:rFonts w:eastAsia="Times New Roman" w:cs="Times New Roman" w:ascii="Times New Roman" w:hAnsi="Times New Roman"/>
          <w:color w:val="auto"/>
          <w:sz w:val="20"/>
          <w:szCs w:val="20"/>
        </w:rPr>
        <w:t>[33]. Крім того, старіючі клітини у значній кількості накопичуються у жировій тканині, зокрема у вісцеральній жировій тканині опасистих людей.</w:t>
      </w:r>
    </w:p>
    <w:p>
      <w:pPr>
        <w:pStyle w:val="Normal"/>
        <w:widowControl/>
        <w:bidi w:val="0"/>
        <w:spacing w:lineRule="auto" w:line="235" w:before="0" w:after="0"/>
        <w:ind w:left="0" w:right="0" w:firstLine="283"/>
        <w:jc w:val="both"/>
        <w:rPr/>
      </w:pPr>
      <w:r>
        <w:rPr>
          <w:rFonts w:eastAsia="Times New Roman" w:cs="Times New Roman" w:ascii="Times New Roman" w:hAnsi="Times New Roman"/>
          <w:color w:val="auto"/>
          <w:sz w:val="20"/>
          <w:szCs w:val="20"/>
        </w:rPr>
        <w:t>Формуванню “inflammaging” також сприяє активація коагуляції з віком.</w:t>
      </w:r>
    </w:p>
    <w:p>
      <w:pPr>
        <w:pStyle w:val="Normal"/>
        <w:widowControl/>
        <w:bidi w:val="0"/>
        <w:spacing w:lineRule="auto" w:line="235" w:before="0" w:after="0"/>
        <w:ind w:left="0" w:right="0" w:firstLine="283"/>
        <w:jc w:val="both"/>
        <w:rPr/>
      </w:pPr>
      <w:r>
        <w:rPr>
          <w:rFonts w:eastAsia="Times New Roman" w:cs="Times New Roman" w:ascii="Times New Roman" w:hAnsi="Times New Roman"/>
          <w:color w:val="auto"/>
          <w:sz w:val="20"/>
          <w:szCs w:val="20"/>
        </w:rPr>
        <w:t>На додаток до екзогенних патоген-асоційованих молекулярних паттернів (PAMP), одним з джерел “inflammaging” можуть бути пошкоджені макромолекули та клітини, які накопичуються з віком внаслідок підвищеного виробництва та/або недостатньої елімінації – ендогенні молекулярні патерни, із небезпекою (danger associated molecular patterns – DAMP). Найбільш широко вивченими DAMP є білки теплового шоку (HSP), HMGB1, фрагменти позаклітинного матриксу та метаболіти пурину, такі як АТФ та сечова кислота. HSP діють як шаперони і знаходяться в цитозолі або ядрі (HSP22 та HSP70), мітохондріях (HSP60 та HSP70) або ендоплазматичному ретикулумі (gp96). HMGB1 – це ядерний білок, який зв'язується з нуклеосомами та сприяє спіралізації ДНК. Він присутній на постійному рівні у більшості клітин та вивільняється у позаклітинне середовище з некротичних клітин. На відміну від внутрішньоклітинних DAMP, позаклітинні DAMP є продуктами деградації позаклітинного матриксу (полісахариди та протеоглікани) внаслідок пошкодження тканин при патологічних станах. Ці фрагменти генеруються в результаті протеолізу ферментами, що вивільняються з гинуть клітин, або протеазами, активованими для стимуляції відновлення тканин та ремоделювання [14].</w:t>
      </w:r>
    </w:p>
    <w:p>
      <w:pPr>
        <w:pStyle w:val="Normal"/>
        <w:widowControl/>
        <w:bidi w:val="0"/>
        <w:spacing w:lineRule="auto" w:line="235" w:before="0" w:after="0"/>
        <w:ind w:left="0" w:right="0" w:firstLine="283"/>
        <w:jc w:val="both"/>
        <w:rPr/>
      </w:pPr>
      <w:r>
        <w:rPr>
          <w:rFonts w:eastAsia="Times New Roman" w:cs="Times New Roman" w:ascii="Times New Roman" w:hAnsi="Times New Roman"/>
          <w:color w:val="auto"/>
          <w:sz w:val="20"/>
          <w:szCs w:val="20"/>
        </w:rPr>
        <w:t>Розпізнавання PAMP та DAMP здійснюється клітинами системи вродженого імунітету за допомогою паттерн-розпізнаючих рецепторів (pattern recognition receptors – PRR). PAMP є найбільш сильними активаторами PRR та пусковими механізмами запалення. DAMP можуть активувати ті ж рецептори та сигнальні шляхи, викликаючи розвиток стерильної запальної реакції [67]. Основні сімейства PRR включають Toll-подібні рецептори (TLR), RIG-I-подібні рецептори (RLR), NOD-подібні рецептори (NLR), лектинові рецептори.</w:t>
      </w:r>
    </w:p>
    <w:p>
      <w:pPr>
        <w:pStyle w:val="Normal"/>
        <w:widowControl/>
        <w:bidi w:val="0"/>
        <w:spacing w:lineRule="auto" w:line="235" w:before="0" w:after="0"/>
        <w:ind w:left="0" w:right="0" w:firstLine="283"/>
        <w:jc w:val="both"/>
        <w:rPr/>
      </w:pPr>
      <w:r>
        <w:rPr>
          <w:rFonts w:eastAsia="Times New Roman" w:cs="Times New Roman" w:ascii="Times New Roman" w:hAnsi="Times New Roman"/>
          <w:color w:val="auto"/>
          <w:sz w:val="20"/>
          <w:szCs w:val="20"/>
        </w:rPr>
        <w:t>При старінні найбільш вивченими рецепторами є TLR та їх експресійні зміни на позаклітинному та внутрішньоклітинному рівнях. TLR експресуються різними клітинами імунної системи, а також клітинами мозку, такими як мікроглія, астроцити, олігодендроцити та нейрони [12, 40, 81]. На сьогоднішній день у ссавців виявлено 13 різних TLR, 10 з яких функціональні у людини.</w:t>
      </w:r>
    </w:p>
    <w:p>
      <w:pPr>
        <w:pStyle w:val="Normal"/>
        <w:widowControl/>
        <w:bidi w:val="0"/>
        <w:spacing w:lineRule="auto" w:line="235" w:before="0" w:after="0"/>
        <w:ind w:left="0" w:right="0" w:firstLine="283"/>
        <w:jc w:val="both"/>
        <w:rPr/>
      </w:pPr>
      <w:r>
        <w:rPr>
          <w:rFonts w:eastAsia="Times New Roman" w:cs="Times New Roman" w:ascii="Times New Roman" w:hAnsi="Times New Roman"/>
          <w:color w:val="auto"/>
          <w:sz w:val="20"/>
          <w:szCs w:val="20"/>
        </w:rPr>
        <w:t>Активація TLR заснована на димеризації [41] та мультимеризації рецепторів [17]. Хоча більшість TLR утворюють гомодімери, деякі TLR, такі як TLR2, утворюють гетеродимери з TLR1 або TLR6. TLR можуть бути розділені на три окремі групи залежно від природи розпізнаваних РAMP. Перша група розпізнає ліганди з різними ліпідними групами і включає TLR1, TLR2, TLR4 та TLR6; TLR4 розпізнає ліпополісахариди, тоді як TLR2/1 та TLR2/6 розпізнають ліпопептиди. Друга група TLR включає TLR5 та TLR11, які активуються у відповідь на бактеріальні білкові ліганди [2]. TLR3, TLR7, TLR8 і TLR9 складають третю групу в сімействі TLR і, як правило, локалізовані у внутрішньоклітинних мембранах, де розпізнають нуклеїнові кислоти бактеріального та вірусного походження. TLR3 активується вірусною дволанцюжковою РНК,</w:t>
      </w:r>
    </w:p>
    <w:p>
      <w:pPr>
        <w:pStyle w:val="Normal"/>
        <w:widowControl/>
        <w:bidi w:val="0"/>
        <w:spacing w:lineRule="auto" w:line="235" w:before="0" w:after="0"/>
        <w:ind w:left="0" w:right="0" w:firstLine="283"/>
        <w:jc w:val="both"/>
        <w:rPr/>
      </w:pPr>
      <w:r>
        <w:rPr>
          <w:rFonts w:eastAsia="Times New Roman" w:cs="Times New Roman" w:ascii="Times New Roman" w:hAnsi="Times New Roman"/>
          <w:color w:val="auto"/>
          <w:sz w:val="20"/>
          <w:szCs w:val="20"/>
        </w:rPr>
        <w:t>Розпізнавання мікробних компонентів за допомогою TLR ініціює MyD88 або TRIF-залежні шляхи передачі сигналу, які завершуються формуванням прозапальних цитокінових відповідей, так і підвищенням регуляції інтерферонів типу I та інтерферон-залежних генів [41]. Цитоплазматична область TLR містить ділянку Toll/IL-1-рецептор-TIR домен, що містить адаптерні білки. TLR рекрутують чотири можливі активуючі адаптерні білки TIR і один інгібуючий білок TIR за допомогою гомофільного взаємодії їх TIR доменів. TLR-сигналінг може бути класифікований на MyD88-залежний та MyD88-незалежний шлях, оскільки MyD88 є універсальним білком-адаптером, що рекрутується всіма TLR, за винятком TLR3 [41]. У відповідь на сигнали пошкодження MyD88-залежний шлях рекрутує членів сімейства кінази, що асоціюється з рецептором IL-1 (IRAK).</w:t>
      </w:r>
      <w:r>
        <w:rPr>
          <w:rFonts w:eastAsia="Arial" w:cs="Arial" w:ascii="Arial" w:hAnsi="Arial"/>
          <w:color w:val="auto"/>
          <w:sz w:val="20"/>
          <w:szCs w:val="20"/>
        </w:rPr>
        <w:t>κ</w:t>
      </w:r>
      <w:r>
        <w:rPr>
          <w:rFonts w:eastAsia="Times New Roman" w:cs="Times New Roman" w:ascii="Times New Roman" w:hAnsi="Times New Roman"/>
          <w:color w:val="auto"/>
          <w:sz w:val="20"/>
          <w:szCs w:val="20"/>
        </w:rPr>
        <w:t>B) транс-локуватися в ядро ​​та активувати білок-активатор 1 (AP-1). Фактори транскрипції NF-</w:t>
      </w:r>
      <w:r>
        <w:rPr>
          <w:rFonts w:eastAsia="Arial" w:cs="Arial" w:ascii="Arial" w:hAnsi="Arial"/>
          <w:color w:val="auto"/>
          <w:sz w:val="20"/>
          <w:szCs w:val="20"/>
        </w:rPr>
        <w:t>κ</w:t>
      </w:r>
      <w:r>
        <w:rPr>
          <w:rFonts w:eastAsia="Times New Roman" w:cs="Times New Roman" w:ascii="Times New Roman" w:hAnsi="Times New Roman"/>
          <w:color w:val="auto"/>
          <w:sz w:val="20"/>
          <w:szCs w:val="20"/>
        </w:rPr>
        <w:t>B та AP-1 контролюють запальну відповідь шляхом індукції транскрипції прозапальних цитокінів, таких як TNF</w:t>
      </w:r>
      <w:r>
        <w:rPr>
          <w:rFonts w:eastAsia="Arial" w:cs="Arial" w:ascii="Arial" w:hAnsi="Arial"/>
          <w:color w:val="auto"/>
          <w:sz w:val="20"/>
          <w:szCs w:val="20"/>
        </w:rPr>
        <w:t>α,</w:t>
      </w:r>
      <w:r>
        <w:rPr>
          <w:rFonts w:eastAsia="Times New Roman" w:cs="Times New Roman" w:ascii="Times New Roman" w:hAnsi="Times New Roman"/>
          <w:color w:val="auto"/>
          <w:sz w:val="20"/>
          <w:szCs w:val="20"/>
        </w:rPr>
        <w:t xml:space="preserve"> IL-6, IL-1</w:t>
      </w:r>
      <w:r>
        <w:rPr>
          <w:rFonts w:eastAsia="Arial" w:cs="Arial" w:ascii="Arial" w:hAnsi="Arial"/>
          <w:color w:val="auto"/>
          <w:sz w:val="20"/>
          <w:szCs w:val="20"/>
        </w:rPr>
        <w:t>β</w:t>
      </w:r>
      <w:r>
        <w:rPr>
          <w:rFonts w:eastAsia="Times New Roman" w:cs="Times New Roman" w:ascii="Times New Roman" w:hAnsi="Times New Roman"/>
          <w:color w:val="auto"/>
          <w:sz w:val="20"/>
          <w:szCs w:val="20"/>
        </w:rPr>
        <w:t xml:space="preserve"> та IL-12.</w:t>
      </w:r>
    </w:p>
    <w:p>
      <w:pPr>
        <w:pStyle w:val="Normal"/>
        <w:widowControl/>
        <w:bidi w:val="0"/>
        <w:spacing w:lineRule="auto" w:line="235" w:before="0" w:after="0"/>
        <w:ind w:left="0" w:right="0" w:firstLine="283"/>
        <w:jc w:val="both"/>
        <w:rPr/>
      </w:pPr>
      <w:r>
        <w:rPr>
          <w:rFonts w:eastAsia="Times New Roman" w:cs="Times New Roman" w:ascii="Times New Roman" w:hAnsi="Times New Roman"/>
          <w:color w:val="auto"/>
          <w:sz w:val="20"/>
          <w:szCs w:val="20"/>
        </w:rPr>
        <w:t>Крім цього шляху, який є загальним для всіх TLR, TLR8 і TLR9 також можуть активувати шлях сигнальної трансдукції, який призводить до транслокації регуляторного фактора 7 інтерферону (IRF7) в ядро. Водночас усі ці фактори транскрипції можуть стимулювати інтерферони типу I, які беруть участь у противірусній імунній відповіді. MyD88-незалежний шлях рекрутує адаптер, що містить TIR домен, та індукує IFN</w:t>
      </w:r>
      <w:r>
        <w:rPr>
          <w:rFonts w:eastAsia="Arial" w:cs="Arial" w:ascii="Arial" w:hAnsi="Arial"/>
          <w:color w:val="auto"/>
          <w:sz w:val="20"/>
          <w:szCs w:val="20"/>
        </w:rPr>
        <w:t>β</w:t>
      </w:r>
      <w:r>
        <w:rPr>
          <w:rFonts w:eastAsia="Times New Roman" w:cs="Times New Roman" w:ascii="Times New Roman" w:hAnsi="Times New Roman"/>
          <w:color w:val="auto"/>
          <w:sz w:val="20"/>
          <w:szCs w:val="20"/>
        </w:rPr>
        <w:t xml:space="preserve"> (TRIF) медіатори та TRIF-асоційовану адаптерну молекулу (TRAM), які транслокують IRF3 в ядро, а також активують NF-</w:t>
      </w:r>
      <w:r>
        <w:rPr>
          <w:rFonts w:eastAsia="Arial" w:cs="Arial" w:ascii="Arial" w:hAnsi="Arial"/>
          <w:color w:val="auto"/>
          <w:sz w:val="20"/>
          <w:szCs w:val="20"/>
        </w:rPr>
        <w:t>κ</w:t>
      </w:r>
      <w:r>
        <w:rPr>
          <w:rFonts w:eastAsia="Times New Roman" w:cs="Times New Roman" w:ascii="Times New Roman" w:hAnsi="Times New Roman"/>
          <w:color w:val="auto"/>
          <w:sz w:val="20"/>
          <w:szCs w:val="20"/>
        </w:rPr>
        <w:t>B і AP-1, необхідні для індукції інтерферонів типу I. Таким чином, TLR інтегрують вроджені імунні реакції, опосередковані провоспалительними цитокінами та інтерферонами I типу [42, 84].</w:t>
      </w:r>
    </w:p>
    <w:p>
      <w:pPr>
        <w:pStyle w:val="Normal"/>
        <w:widowControl/>
        <w:bidi w:val="0"/>
        <w:spacing w:lineRule="auto" w:line="235" w:before="0" w:after="0"/>
        <w:ind w:left="0" w:right="0" w:firstLine="283"/>
        <w:jc w:val="both"/>
        <w:rPr/>
      </w:pPr>
      <w:r>
        <w:rPr>
          <w:rFonts w:eastAsia="Times New Roman" w:cs="Times New Roman" w:ascii="Times New Roman" w:hAnsi="Times New Roman"/>
          <w:color w:val="auto"/>
          <w:sz w:val="20"/>
          <w:szCs w:val="20"/>
        </w:rPr>
        <w:t>TLR розпізнають найрізноманітніший репертуар лігандів DAMP серед усіх рецепторів системи вродженого імунітету [56]. При патологічних станах DAMP або пасивно вивільняються з пошкоджених/запалених тканин, клітин, що відмирають, або активно секретуються лізосомами. DAMP, що розпізнаються TLR, включають LMW-HA [71], фібриноген [77], фібронектин [59],</w:t>
      </w:r>
      <w:r>
        <w:rPr>
          <w:rFonts w:eastAsia="Arial" w:cs="Arial" w:ascii="Arial" w:hAnsi="Arial"/>
          <w:color w:val="auto"/>
          <w:sz w:val="20"/>
          <w:szCs w:val="20"/>
        </w:rPr>
        <w:t>β</w:t>
      </w:r>
      <w:r>
        <w:rPr>
          <w:rFonts w:eastAsia="Times New Roman" w:cs="Times New Roman" w:ascii="Times New Roman" w:hAnsi="Times New Roman"/>
          <w:color w:val="auto"/>
          <w:sz w:val="20"/>
          <w:szCs w:val="20"/>
        </w:rPr>
        <w:t>-дефенсини [9], сульфат гепарину [39], протеоглікани [27], білки теплового шоку [4, 83], білки S100 [24], сечову кислоту [31], HMGB1 [91] та ендогенні нуклеїнові кислоти [5, 62 ]. Більшість DAMP, вивчених до цього часу, активують TLR4 і TLR2 [90], тоді як лише кілька DAMP зв'язують та стимулюють інші TLR. Це може бути пов'язано з тим фактом, що TLR2 та 4 є найбільш вивченими TLR.</w:t>
      </w:r>
    </w:p>
    <w:p>
      <w:pPr>
        <w:pStyle w:val="Normal"/>
        <w:widowControl/>
        <w:bidi w:val="0"/>
        <w:spacing w:lineRule="auto" w:line="235" w:before="0" w:after="0"/>
        <w:ind w:left="0" w:right="0" w:firstLine="283"/>
        <w:jc w:val="both"/>
        <w:rPr/>
      </w:pPr>
      <w:r>
        <w:rPr>
          <w:rFonts w:eastAsia="Times New Roman" w:cs="Times New Roman" w:ascii="Times New Roman" w:hAnsi="Times New Roman"/>
          <w:color w:val="auto"/>
          <w:sz w:val="20"/>
          <w:szCs w:val="20"/>
        </w:rPr>
        <w:t>На відміну від РAMP-опосередкованої активації TLR DAMP не активують канонічний шлях TLR. Швидше за все індукована DAMP передача сигналів залежить від присутності РAMP; без інфекції (РAMP відсутні) цитокінзалежна транскрипція пригнічується (рис. 1).</w:t>
      </w:r>
    </w:p>
    <w:p>
      <w:pPr>
        <w:pStyle w:val="Normal"/>
        <w:widowControl/>
        <w:bidi w:val="0"/>
        <w:spacing w:lineRule="auto" w:line="235" w:before="0" w:after="0"/>
        <w:ind w:left="0" w:right="0" w:firstLine="283"/>
        <w:jc w:val="both"/>
        <w:rPr/>
      </w:pPr>
      <w:r>
        <w:rPr>
          <w:rFonts w:eastAsia="Times New Roman" w:cs="Times New Roman" w:ascii="Times New Roman" w:hAnsi="Times New Roman"/>
          <w:color w:val="auto"/>
          <w:sz w:val="20"/>
          <w:szCs w:val="20"/>
        </w:rPr>
        <w:t>У цьому випадку DAMP одночасно зв'язуються з TLR і CD-24-Siglec-G комплексом, що інгібує транскрипцію цитокінів. Хоча зв'язування DAMP-TLR з комплексом CD24-Siglec-G пригнічує транскрипцію цитокінів, ця сполука бере участь у активації NF-</w:t>
      </w:r>
      <w:r>
        <w:rPr>
          <w:rFonts w:eastAsia="Arial" w:cs="Arial" w:ascii="Arial" w:hAnsi="Arial"/>
          <w:color w:val="auto"/>
          <w:sz w:val="20"/>
          <w:szCs w:val="20"/>
        </w:rPr>
        <w:t>κ</w:t>
      </w:r>
      <w:r>
        <w:rPr>
          <w:rFonts w:eastAsia="Times New Roman" w:cs="Times New Roman" w:ascii="Times New Roman" w:hAnsi="Times New Roman"/>
          <w:color w:val="auto"/>
          <w:sz w:val="20"/>
          <w:szCs w:val="20"/>
        </w:rPr>
        <w:t>B, яка регулює гени апоптозу, запалення, онкогени та різні аутоімунні гени [48]. Проте за умов інфекції (РAMP присутні) транскрипція цитокінів не придушується [13]. У цьому випадку бактеріальна сіалідаза перериває взаємодію між CD-24 та Siglec-G, порушуючи його інгібуючий ефект, призводячи до посилення продукції цитокінів [63]. Таким чином, тип активації TLR визначає результат клітинної транскрипції. Розпізнавання DAMP за допомогою TLR дозволяє імунній системі не тільки відчувати запальний процес, що продовжується, і рекрутувати більше імунних клітин, але й ініціювати відновлення пошкодженої тканини за допомогою процесів сигнальної трансдукції [52]. Наприклад, окисний стрес, який викликає некроз або апоптоз клітин і, отже, призводить до вивільнення DAMP, активує два різні шляхи сигнальної трансдукції через TLR2 та TLR4. Один шлях пов'язаний з активацією c-Jun N-термінальної кінази (JNK)/p38, яка відіграє ключову роль в апоптозі, індукованому цитокінами та стресом. Другий шлях активує позаклітинну сигналрегульовану кіназу (ERK), яка, як вважають, бере участь у виживанні клітин [57]. Цей приклад показує, що хоча DAMP викликають запалення, вони також можуть викликати відновлення тканин за допомогою активації TLR.</w:t>
      </w:r>
    </w:p>
    <w:p>
      <w:pPr>
        <w:pStyle w:val="Normal"/>
        <w:widowControl/>
        <w:bidi w:val="0"/>
        <w:spacing w:lineRule="auto" w:line="235" w:before="0" w:after="0"/>
        <w:ind w:left="0" w:right="0" w:firstLine="283"/>
        <w:jc w:val="both"/>
        <w:rPr/>
      </w:pPr>
      <w:r>
        <w:rPr>
          <w:rFonts w:eastAsia="Times New Roman" w:cs="Times New Roman" w:ascii="Times New Roman" w:hAnsi="Times New Roman"/>
          <w:color w:val="auto"/>
          <w:sz w:val="20"/>
          <w:szCs w:val="20"/>
        </w:rPr>
        <w:t>При старінні показано зниження експресії та функціональної активності TLR. Встановлено, що виразність експресії TLR2 на моноцитах периферичної крові співставна у молодих та літніх людей, а експресія TLR1 та TLR4 значно знижується з віком. Також показано зниження експресії TLR1, TLR2 та TLR4 на поверхні макрофагів при старінні. З віком спостерігається зниження експресії TLR3, TLR7, TLR8 у мієлоїдних та плазмоцитоїдних дендритних клітинах (ДК), зменшення експресії TLR1 у мієлоїдних ДК [61, 85].</w:t>
      </w:r>
    </w:p>
    <w:p>
      <w:pPr>
        <w:pStyle w:val="Normal"/>
        <w:widowControl/>
        <w:bidi w:val="0"/>
        <w:spacing w:lineRule="auto" w:line="235" w:before="0" w:after="0"/>
        <w:ind w:left="0" w:right="0" w:firstLine="283"/>
        <w:jc w:val="both"/>
        <w:rPr/>
      </w:pPr>
      <w:r>
        <w:rPr>
          <w:rFonts w:eastAsia="Times New Roman" w:cs="Times New Roman" w:ascii="Times New Roman" w:hAnsi="Times New Roman"/>
          <w:color w:val="auto"/>
          <w:sz w:val="20"/>
          <w:szCs w:val="20"/>
        </w:rPr>
        <w:t>TLR-індукована продукція цитокінів клітинами вродженого імунітету значно знижується із віком. Встановлено значне вікове зниження продукції IL-6 та TNF</w:t>
      </w:r>
      <w:r>
        <w:rPr>
          <w:rFonts w:eastAsia="Arial" w:cs="Arial" w:ascii="Arial" w:hAnsi="Arial"/>
          <w:color w:val="auto"/>
          <w:sz w:val="20"/>
          <w:szCs w:val="20"/>
        </w:rPr>
        <w:t>α</w:t>
      </w:r>
      <w:r>
        <w:rPr>
          <w:rFonts w:eastAsia="Times New Roman" w:cs="Times New Roman" w:ascii="Times New Roman" w:hAnsi="Times New Roman"/>
          <w:color w:val="auto"/>
          <w:sz w:val="20"/>
          <w:szCs w:val="20"/>
        </w:rPr>
        <w:t>моноцитами людей похилого віку після стимуляції TLR1/2 в порівнянні з молодшою ​​віковою групою. У той же час моноцити людей похилого віку при стимуляції TLR4 або TLR5 синтезують більшу кількість TNF</w:t>
      </w:r>
      <w:r>
        <w:rPr>
          <w:rFonts w:eastAsia="Arial" w:cs="Arial" w:ascii="Arial" w:hAnsi="Arial"/>
          <w:color w:val="auto"/>
          <w:sz w:val="20"/>
          <w:szCs w:val="20"/>
        </w:rPr>
        <w:t>α</w:t>
      </w:r>
      <w:r>
        <w:rPr>
          <w:rFonts w:eastAsia="Times New Roman" w:cs="Times New Roman" w:ascii="Times New Roman" w:hAnsi="Times New Roman"/>
          <w:color w:val="auto"/>
          <w:sz w:val="20"/>
          <w:szCs w:val="20"/>
        </w:rPr>
        <w:t>та IL-8, ніж моноцити молодих [58]. В результаті порівняльного дослідження TLR-індукованої продукції цитокінів (TNF</w:t>
      </w:r>
      <w:r>
        <w:rPr>
          <w:rFonts w:eastAsia="Arial" w:cs="Arial" w:ascii="Arial" w:hAnsi="Arial"/>
          <w:color w:val="auto"/>
          <w:sz w:val="20"/>
          <w:szCs w:val="20"/>
        </w:rPr>
        <w:t>α,</w:t>
      </w:r>
      <w:r>
        <w:rPr>
          <w:rFonts w:eastAsia="Times New Roman" w:cs="Times New Roman" w:ascii="Times New Roman" w:hAnsi="Times New Roman"/>
          <w:color w:val="auto"/>
          <w:sz w:val="20"/>
          <w:szCs w:val="20"/>
        </w:rPr>
        <w:t xml:space="preserve"> IL-6, IL-12 та IL-23) мієлоїдними та плазмоцитоїдними ДК молодих та старих індивідуумів було виявлено вікове зниження продукції TNF</w:t>
      </w:r>
      <w:r>
        <w:rPr>
          <w:rFonts w:eastAsia="Arial" w:cs="Arial" w:ascii="Arial" w:hAnsi="Arial"/>
          <w:color w:val="auto"/>
          <w:sz w:val="20"/>
          <w:szCs w:val="20"/>
        </w:rPr>
        <w:t>α,</w:t>
      </w:r>
      <w:r>
        <w:rPr>
          <w:rFonts w:eastAsia="Times New Roman" w:cs="Times New Roman" w:ascii="Times New Roman" w:hAnsi="Times New Roman"/>
          <w:color w:val="auto"/>
          <w:sz w:val="20"/>
          <w:szCs w:val="20"/>
        </w:rPr>
        <w:t xml:space="preserve"> IL-6 і IL-23 практично для всіх оцінюваних TLR (TLR1/2, TLR2/6, TLR3, TLR4, TLR5 і TLR8) мієлоїдними ДК.</w:t>
      </w:r>
    </w:p>
    <w:p>
      <w:pPr>
        <w:pStyle w:val="Normal"/>
        <w:widowControl/>
        <w:bidi w:val="0"/>
        <w:spacing w:lineRule="auto" w:line="235" w:before="0" w:after="0"/>
        <w:ind w:left="0" w:right="0" w:firstLine="283"/>
        <w:jc w:val="both"/>
        <w:rPr/>
      </w:pPr>
      <w:r>
        <w:rPr>
          <w:rFonts w:eastAsia="Times New Roman" w:cs="Times New Roman" w:ascii="Times New Roman" w:hAnsi="Times New Roman"/>
          <w:color w:val="auto"/>
          <w:sz w:val="20"/>
          <w:szCs w:val="20"/>
        </w:rPr>
        <w:t>Декілька груп дослідників продемонстрували, що після взаємодії TLR7, TLR8 або TLR9 плазмоцитоїдні ДК молодих індивідуумів генерують значно більше IFN</w:t>
      </w:r>
      <w:r>
        <w:rPr>
          <w:rFonts w:eastAsia="Arial" w:cs="Arial" w:ascii="Arial" w:hAnsi="Arial"/>
          <w:color w:val="auto"/>
          <w:sz w:val="20"/>
          <w:szCs w:val="20"/>
        </w:rPr>
        <w:t>α,</w:t>
      </w:r>
      <w:r>
        <w:rPr>
          <w:rFonts w:eastAsia="Times New Roman" w:cs="Times New Roman" w:ascii="Times New Roman" w:hAnsi="Times New Roman"/>
          <w:color w:val="auto"/>
          <w:sz w:val="20"/>
          <w:szCs w:val="20"/>
        </w:rPr>
        <w:t xml:space="preserve"> TNF</w:t>
      </w:r>
      <w:r>
        <w:rPr>
          <w:rFonts w:eastAsia="Arial" w:cs="Arial" w:ascii="Arial" w:hAnsi="Arial"/>
          <w:color w:val="auto"/>
          <w:sz w:val="20"/>
          <w:szCs w:val="20"/>
        </w:rPr>
        <w:t>α</w:t>
      </w:r>
      <w:r>
        <w:rPr>
          <w:rFonts w:eastAsia="Times New Roman" w:cs="Times New Roman" w:ascii="Times New Roman" w:hAnsi="Times New Roman"/>
          <w:color w:val="auto"/>
          <w:sz w:val="20"/>
          <w:szCs w:val="20"/>
        </w:rPr>
        <w:t xml:space="preserve"> та IL-6, ніж плазмоцитоїдні ДК, отримані від людей похилого віку [38, 61].</w:t>
      </w:r>
    </w:p>
    <w:p>
      <w:pPr>
        <w:pStyle w:val="Normal"/>
        <w:widowControl/>
        <w:bidi w:val="0"/>
        <w:spacing w:lineRule="auto" w:line="235" w:before="0" w:after="0"/>
        <w:ind w:left="0" w:right="0" w:firstLine="283"/>
        <w:jc w:val="both"/>
        <w:rPr/>
      </w:pPr>
      <w:r>
        <w:rPr>
          <w:rFonts w:eastAsia="Times New Roman" w:cs="Times New Roman" w:ascii="Times New Roman" w:hAnsi="Times New Roman"/>
          <w:color w:val="auto"/>
          <w:sz w:val="20"/>
          <w:szCs w:val="20"/>
          <w:lang w:val="uk-UA"/>
        </w:rPr>
        <w:t>У той же час встановлено підвищення здатності макрофагів до базального вироблення прозапальних цитокінів: IL-1</w:t>
      </w:r>
      <w:r>
        <w:rPr>
          <w:rFonts w:eastAsia="Arial" w:cs="Arial" w:ascii="Arial" w:hAnsi="Arial"/>
          <w:color w:val="auto"/>
          <w:sz w:val="20"/>
          <w:szCs w:val="20"/>
        </w:rPr>
        <w:t>β</w:t>
      </w:r>
      <w:r>
        <w:rPr>
          <w:rFonts w:eastAsia="Times New Roman" w:cs="Times New Roman" w:ascii="Times New Roman" w:hAnsi="Times New Roman"/>
          <w:color w:val="auto"/>
          <w:sz w:val="20"/>
          <w:szCs w:val="20"/>
        </w:rPr>
        <w:t>, IL-6, TNF</w:t>
      </w:r>
      <w:r>
        <w:rPr>
          <w:rFonts w:eastAsia="Arial" w:cs="Arial" w:ascii="Arial" w:hAnsi="Arial"/>
          <w:color w:val="auto"/>
          <w:sz w:val="20"/>
          <w:szCs w:val="20"/>
        </w:rPr>
        <w:t>α</w:t>
      </w:r>
      <w:r>
        <w:rPr>
          <w:rFonts w:eastAsia="Times New Roman" w:cs="Times New Roman" w:ascii="Times New Roman" w:hAnsi="Times New Roman"/>
          <w:color w:val="auto"/>
          <w:sz w:val="20"/>
          <w:szCs w:val="20"/>
        </w:rPr>
        <w:t>. Показано, що базальні рівні IL-12, IL-6 та TNF</w:t>
      </w:r>
      <w:r>
        <w:rPr>
          <w:rFonts w:eastAsia="Arial" w:cs="Arial" w:ascii="Arial" w:hAnsi="Arial"/>
          <w:color w:val="auto"/>
          <w:sz w:val="20"/>
          <w:szCs w:val="20"/>
        </w:rPr>
        <w:t xml:space="preserve">α в </w:t>
      </w:r>
      <w:r>
        <w:rPr>
          <w:rFonts w:eastAsia="Times New Roman" w:cs="Times New Roman" w:ascii="Times New Roman" w:hAnsi="Times New Roman"/>
          <w:color w:val="auto"/>
          <w:sz w:val="20"/>
          <w:szCs w:val="20"/>
        </w:rPr>
        <w:t>мієлоїдних ДК та IFN</w:t>
      </w:r>
      <w:r>
        <w:rPr>
          <w:rFonts w:eastAsia="Arial" w:cs="Arial" w:ascii="Arial" w:hAnsi="Arial"/>
          <w:color w:val="auto"/>
          <w:sz w:val="20"/>
          <w:szCs w:val="20"/>
        </w:rPr>
        <w:t>α</w:t>
      </w:r>
      <w:r>
        <w:rPr>
          <w:rFonts w:eastAsia="Times New Roman" w:cs="Times New Roman" w:ascii="Times New Roman" w:hAnsi="Times New Roman"/>
          <w:color w:val="auto"/>
          <w:sz w:val="20"/>
          <w:szCs w:val="20"/>
        </w:rPr>
        <w:t xml:space="preserve"> та TNF</w:t>
      </w:r>
      <w:r>
        <w:rPr>
          <w:rFonts w:eastAsia="Arial" w:cs="Arial" w:ascii="Arial" w:hAnsi="Arial"/>
          <w:color w:val="auto"/>
          <w:sz w:val="20"/>
          <w:szCs w:val="20"/>
        </w:rPr>
        <w:t>α</w:t>
      </w:r>
      <w:r>
        <w:rPr>
          <w:rFonts w:eastAsia="Times New Roman" w:cs="Times New Roman" w:ascii="Times New Roman" w:hAnsi="Times New Roman"/>
          <w:color w:val="auto"/>
          <w:sz w:val="20"/>
          <w:szCs w:val="20"/>
        </w:rPr>
        <w:t>у плазмоцитоїдних ДК були помітно підвищені у літніх у порівнянні з молодими досліджуваними [61]. У багатьох дослідженнях продемонстровано вік-асоційоване підвищення концентрацій прозапальних цитокінів, ключовим із яких є IL-6 [22, 70]. IL-6 в нормі експресується на низькому рівні та не визначається в периферичній крові. Однак з віком сироваткова концентрація IL-6 підвищується і стає доступною для визначення. Підвищення концентрації IL-6 характерне для процесу старіння і може відображати вік-асоційовані зміни навіть у здорових людей старших вікових груп, тому цей цитокін був названий «цитокін геронтологів» [21]. Показано, що у довгожителів Сицилії порівняно з групою осіб віком 30-50 років підвищено рівень IL-6 та IL-12 – прозапального цитокіну сімейства IL-6 [60]. Збільшення концентрації IL-12 виявили у вісімдесятирічних порівняно з контрольною групою молодого віку. Іншими важливими прозапальними цитокінами є TNF</w:t>
      </w:r>
      <w:r>
        <w:rPr>
          <w:rFonts w:eastAsia="Arial" w:cs="Arial" w:ascii="Arial" w:hAnsi="Arial"/>
          <w:color w:val="auto"/>
          <w:sz w:val="20"/>
          <w:szCs w:val="20"/>
        </w:rPr>
        <w:t>α,</w:t>
      </w:r>
      <w:r>
        <w:rPr>
          <w:rFonts w:eastAsia="Times New Roman" w:cs="Times New Roman" w:ascii="Times New Roman" w:hAnsi="Times New Roman"/>
          <w:color w:val="auto"/>
          <w:sz w:val="20"/>
          <w:szCs w:val="20"/>
        </w:rPr>
        <w:t xml:space="preserve"> IL-1, IL-18, рівні яких також збільшуються із віком [29, 30].</w:t>
      </w:r>
    </w:p>
    <w:p>
      <w:pPr>
        <w:pStyle w:val="Normal"/>
        <w:widowControl/>
        <w:bidi w:val="0"/>
        <w:spacing w:lineRule="auto" w:line="235" w:before="0" w:after="0"/>
        <w:ind w:left="0" w:right="0" w:firstLine="283"/>
        <w:jc w:val="both"/>
        <w:rPr/>
      </w:pPr>
      <w:r>
        <mc:AlternateContent>
          <mc:Choice Requires="wps">
            <w:drawing>
              <wp:anchor behindDoc="1" distT="0" distB="0" distL="0" distR="0" simplePos="0" locked="0" layoutInCell="1" allowOverlap="1" relativeHeight="3">
                <wp:simplePos x="0" y="0"/>
                <wp:positionH relativeFrom="column">
                  <wp:posOffset>-3111500</wp:posOffset>
                </wp:positionH>
                <wp:positionV relativeFrom="paragraph">
                  <wp:posOffset>123190</wp:posOffset>
                </wp:positionV>
                <wp:extent cx="6085840" cy="3175"/>
                <wp:effectExtent l="0" t="0" r="0" b="0"/>
                <wp:wrapNone/>
                <wp:docPr id="2" name="Shape 14"/>
                <a:graphic xmlns:a="http://schemas.openxmlformats.org/drawingml/2006/main">
                  <a:graphicData uri="http://schemas.microsoft.com/office/word/2010/wordprocessingShape">
                    <wps:wsp>
                      <wps:cNvSpPr/>
                      <wps:spPr>
                        <a:xfrm>
                          <a:off x="0" y="0"/>
                          <a:ext cx="6085080" cy="432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245.05pt,9.55pt" to="234.05pt,9.85pt" ID="Shape 14" stroked="t" style="position:absolute">
                <v:stroke color="black" weight="6480" joinstyle="miter" endcap="flat"/>
                <v:fill o:detectmouseclick="t" on="false"/>
              </v:line>
            </w:pict>
          </mc:Fallback>
        </mc:AlternateContent>
      </w:r>
      <w:r>
        <w:rPr>
          <w:rFonts w:eastAsia="Times New Roman" w:cs="Times New Roman" w:ascii="Times New Roman" w:hAnsi="Times New Roman"/>
          <w:color w:val="auto"/>
          <w:sz w:val="20"/>
          <w:szCs w:val="20"/>
        </w:rPr>
        <w:t>Таким чином, при старінні показано зниження експресії TLR [61, 86], що веде до подальшого порушення сигнальних каскадів, зміни функції TLR та зниження TLR-залежної продукції цитокінів, особливо тих, які пов'язані з інтерферонзалежною передачею сигналів [1, 44]. Вікове зниження продукції цитокінів, індукованої TLR, контрастує з доказами збільшення базальної продукції прозапальних цитокінів у людей похилого віку. Це можна пояснити тим, що, оскільки базальні рівні цитокінів підвищені, подальше збільшення продукції цитокіну після стимуляції TLR-лігандом буде ослаблене.</w:t>
      </w:r>
    </w:p>
    <w:p>
      <w:pPr>
        <w:pStyle w:val="Normal"/>
        <w:widowControl/>
        <w:bidi w:val="0"/>
        <w:spacing w:lineRule="auto" w:line="235" w:before="0" w:after="0"/>
        <w:ind w:left="0" w:right="0" w:firstLine="283"/>
        <w:jc w:val="both"/>
        <w:rPr/>
      </w:pPr>
      <w:r>
        <w:rPr>
          <w:rFonts w:eastAsia="Times New Roman" w:cs="Times New Roman" w:ascii="Times New Roman" w:hAnsi="Times New Roman"/>
          <w:color w:val="auto"/>
          <w:sz w:val="20"/>
          <w:szCs w:val="20"/>
        </w:rPr>
        <w:t>Таким чином, TLR розпізнають екзогенні та ендогенні ліганди, що веде до активації фактора транскрипції NF-</w:t>
      </w:r>
      <w:r>
        <w:rPr>
          <w:rFonts w:eastAsia="Arial" w:cs="Arial" w:ascii="Arial" w:hAnsi="Arial"/>
          <w:color w:val="auto"/>
          <w:sz w:val="20"/>
          <w:szCs w:val="20"/>
        </w:rPr>
        <w:t>κ</w:t>
      </w:r>
      <w:r>
        <w:rPr>
          <w:rFonts w:eastAsia="Times New Roman" w:cs="Times New Roman" w:ascii="Times New Roman" w:hAnsi="Times New Roman"/>
          <w:color w:val="auto"/>
          <w:sz w:val="20"/>
          <w:szCs w:val="20"/>
        </w:rPr>
        <w:t>B, а далі – до активації експресії генів прозапальних цитокінів, хемокінів, NO-синтази, антимікробних пептидів. В результаті розвивається захисна запальна реакція, а при старінні відбувається формування прозапального фенотипу та розвиток “inflammaging”. Тому NF-</w:t>
      </w:r>
      <w:r>
        <w:rPr>
          <w:rFonts w:eastAsia="Arial" w:cs="Arial" w:ascii="Arial" w:hAnsi="Arial"/>
          <w:color w:val="auto"/>
          <w:sz w:val="20"/>
          <w:szCs w:val="20"/>
        </w:rPr>
        <w:t>κ</w:t>
      </w:r>
      <w:r>
        <w:rPr>
          <w:rFonts w:eastAsia="Times New Roman" w:cs="Times New Roman" w:ascii="Times New Roman" w:hAnsi="Times New Roman"/>
          <w:color w:val="auto"/>
          <w:sz w:val="20"/>
          <w:szCs w:val="20"/>
        </w:rPr>
        <w:t>B-сигнальний шлях розглядається як ключовий сигнальний шлях розвитку “inflammaging”.</w:t>
      </w:r>
    </w:p>
    <w:p>
      <w:pPr>
        <w:pStyle w:val="Normal"/>
        <w:widowControl/>
        <w:bidi w:val="0"/>
        <w:spacing w:lineRule="auto" w:line="235" w:before="0" w:after="0"/>
        <w:ind w:left="0" w:right="0" w:firstLine="283"/>
        <w:jc w:val="both"/>
        <w:rPr/>
      </w:pPr>
      <w:r>
        <w:rPr>
          <w:rFonts w:eastAsia="Times New Roman" w:cs="Times New Roman" w:ascii="Times New Roman" w:hAnsi="Times New Roman"/>
          <w:color w:val="auto"/>
          <w:sz w:val="20"/>
          <w:szCs w:val="20"/>
        </w:rPr>
        <w:t>Ще одним важливим фактором розвитку “inflammaging” та формування прозапального фенотипу при старінні є утворення інфламасоми.</w:t>
      </w:r>
    </w:p>
    <w:p>
      <w:pPr>
        <w:pStyle w:val="Normal"/>
        <w:widowControl/>
        <w:bidi w:val="0"/>
        <w:spacing w:lineRule="auto" w:line="235" w:before="0" w:after="0"/>
        <w:ind w:left="0" w:right="0" w:firstLine="283"/>
        <w:jc w:val="both"/>
        <w:rPr/>
      </w:pPr>
      <w:r>
        <w:rPr>
          <w:rFonts w:eastAsia="Times New Roman" w:cs="Times New Roman" w:ascii="Times New Roman" w:hAnsi="Times New Roman"/>
          <w:color w:val="auto"/>
          <w:sz w:val="20"/>
          <w:szCs w:val="20"/>
        </w:rPr>
        <w:t>Інфламасоми є групою цитозольних білкових комплексів, які є результатом активації NOD-подібних рецепторів (NLR) [54]. З-поміж усіх NLR-інфламасом найбільш вивчена NLRP3-інфламасома [43]. NLRP3 – основний рецептор для екзогенних патоген-асоційованих сигналів та ендогенних сигналів небезпеки. Факторами зовнішнього середовища, які запускають секрецію DAMP та активацію інфламасоми, є такі частинки, як алюміній, азбест, кремній, ультрафіолетове випромінювання. Ендогенні кристалічні DAMP включають кристали урату натрію, дегідрат пірофосфату, холестерин, амілоїдні відкладення [35, 51], кристали гідроксіапатиту [37], LMW-HA [89]. Ендогенними некристалічними DAMP служать АТФ [50], високі рівні глюкози [93] та насичені жирні кислоти [88].</w:t>
      </w:r>
    </w:p>
    <w:p>
      <w:pPr>
        <w:pStyle w:val="Normal"/>
        <w:widowControl/>
        <w:bidi w:val="0"/>
        <w:spacing w:lineRule="auto" w:line="235" w:before="0" w:after="0"/>
        <w:ind w:left="0" w:right="0" w:firstLine="283"/>
        <w:jc w:val="both"/>
        <w:rPr/>
      </w:pPr>
      <w:r>
        <w:rPr>
          <w:rFonts w:eastAsia="Times New Roman" w:cs="Times New Roman" w:ascii="Times New Roman" w:hAnsi="Times New Roman"/>
          <w:color w:val="auto"/>
          <w:sz w:val="20"/>
          <w:szCs w:val="20"/>
        </w:rPr>
        <w:t>Активація NLRP3-інфламасоми проходить у два етапи (рис. 2). На першому етапі внутрішньоклітинна передача сигналу ініціює NF-</w:t>
      </w:r>
      <w:r>
        <w:rPr>
          <w:rFonts w:eastAsia="Arial" w:cs="Arial" w:ascii="Arial" w:hAnsi="Arial"/>
          <w:color w:val="auto"/>
          <w:sz w:val="20"/>
          <w:szCs w:val="20"/>
        </w:rPr>
        <w:t>κ</w:t>
      </w:r>
      <w:r>
        <w:rPr>
          <w:rFonts w:eastAsia="Times New Roman" w:cs="Times New Roman" w:ascii="Times New Roman" w:hAnsi="Times New Roman"/>
          <w:color w:val="auto"/>
          <w:sz w:val="20"/>
          <w:szCs w:val="20"/>
        </w:rPr>
        <w:t>B-опосередковану транскрипцію NLRP3 та попередника IL-1</w:t>
      </w:r>
      <w:r>
        <w:rPr>
          <w:rFonts w:eastAsia="Arial" w:cs="Arial" w:ascii="Arial" w:hAnsi="Arial"/>
          <w:color w:val="auto"/>
          <w:sz w:val="20"/>
          <w:szCs w:val="20"/>
        </w:rPr>
        <w:t>β</w:t>
      </w:r>
      <w:r>
        <w:rPr>
          <w:rFonts w:eastAsia="Times New Roman" w:cs="Times New Roman" w:ascii="Times New Roman" w:hAnsi="Times New Roman"/>
          <w:color w:val="auto"/>
          <w:sz w:val="20"/>
          <w:szCs w:val="20"/>
        </w:rPr>
        <w:t>. Активація NF-</w:t>
      </w:r>
      <w:r>
        <w:rPr>
          <w:rFonts w:eastAsia="Arial" w:cs="Arial" w:ascii="Arial" w:hAnsi="Arial"/>
          <w:color w:val="auto"/>
          <w:sz w:val="20"/>
          <w:szCs w:val="20"/>
        </w:rPr>
        <w:t>κ</w:t>
      </w:r>
      <w:r>
        <w:rPr>
          <w:rFonts w:eastAsia="Times New Roman" w:cs="Times New Roman" w:ascii="Times New Roman" w:hAnsi="Times New Roman"/>
          <w:color w:val="auto"/>
          <w:sz w:val="20"/>
          <w:szCs w:val="20"/>
        </w:rPr>
        <w:t>B досягається різними шляхами, включаючи стимуляцію за допомогою PRR IL-1, TLR, рецепторів TNF 1 і 2 [6, 23, 34, 46], а також виробництво АФК [7]. Цитоплазматичний NLRP3 поліубіквітінований, а також стабілізований димером SGT1-HSP90.</w:t>
      </w:r>
    </w:p>
    <w:p>
      <w:pPr>
        <w:pStyle w:val="Normal"/>
        <w:widowControl/>
        <w:bidi w:val="0"/>
        <w:spacing w:lineRule="auto" w:line="235" w:before="0" w:after="0"/>
        <w:ind w:left="0" w:right="0" w:firstLine="283"/>
        <w:jc w:val="both"/>
        <w:rPr/>
      </w:pPr>
      <w:r>
        <w:rPr>
          <w:rFonts w:eastAsia="Times New Roman" w:cs="Times New Roman" w:ascii="Times New Roman" w:hAnsi="Times New Roman"/>
          <w:color w:val="auto"/>
          <w:sz w:val="20"/>
          <w:szCs w:val="20"/>
        </w:rPr>
        <w:t>На другому етапі різні тригери NLRP3 (РAMP або DAMP) запускають складання інфламасоми. Фермент BRCC3 деубіквітінує NLRP3, і комплекс SGT1-HSP90 відщеплюється, що уможливлює олігомеризацію NLRP3 з ASC і каспазою-1. Показано, що BRCA1-BRCA2-вмісний комплекс (BRCC3) є критичним регулятором деубіквітинування та запальної активності NLRP3-інфламасоми і відіграє критичну роль у відповідь на пошкодження ДНК [65]. Таким чином, NLRP3-інфламасома складається з трьох компонентів: цитоплазматичного рецептора NLRP3, спірального білка адаптора ASC та цистеїнової протеази каспази-1. Щойно комплекс активовано, каспаза-1 розщеплює попередників IL-1</w:t>
      </w:r>
      <w:r>
        <w:rPr>
          <w:rFonts w:eastAsia="Arial" w:cs="Arial" w:ascii="Arial" w:hAnsi="Arial"/>
          <w:color w:val="auto"/>
          <w:sz w:val="20"/>
          <w:szCs w:val="20"/>
        </w:rPr>
        <w:t>β</w:t>
      </w:r>
      <w:r>
        <w:rPr>
          <w:rFonts w:eastAsia="Times New Roman" w:cs="Times New Roman" w:ascii="Times New Roman" w:hAnsi="Times New Roman"/>
          <w:color w:val="auto"/>
          <w:sz w:val="20"/>
          <w:szCs w:val="20"/>
        </w:rPr>
        <w:t xml:space="preserve"> та IL-18, представляючи їх у їхній зрілій секретованій формі.</w:t>
      </w:r>
    </w:p>
    <w:p>
      <w:pPr>
        <w:pStyle w:val="Normal"/>
        <w:widowControl/>
        <w:bidi w:val="0"/>
        <w:spacing w:lineRule="auto" w:line="235" w:before="0" w:after="0"/>
        <w:ind w:left="0" w:right="0" w:firstLine="283"/>
        <w:jc w:val="both"/>
        <w:rPr/>
      </w:pPr>
      <w:r>
        <w:rPr>
          <w:rFonts w:eastAsia="Times New Roman" w:cs="Times New Roman" w:ascii="Times New Roman" w:hAnsi="Times New Roman"/>
          <w:color w:val="auto"/>
          <w:sz w:val="20"/>
          <w:szCs w:val="20"/>
        </w:rPr>
        <w:t>Система двоступінчастої активації NLRP3-інфламасоми забезпечує регуляцію запальної реакції для уникнення активації непотрібного запалення.</w:t>
      </w:r>
    </w:p>
    <w:p>
      <w:pPr>
        <w:pStyle w:val="Normal"/>
        <w:widowControl/>
        <w:bidi w:val="0"/>
        <w:spacing w:lineRule="auto" w:line="235" w:before="0" w:after="0"/>
        <w:ind w:left="0" w:right="0" w:firstLine="283"/>
        <w:jc w:val="both"/>
        <w:rPr/>
      </w:pPr>
      <w:r>
        <w:rPr>
          <w:rFonts w:eastAsia="Times New Roman" w:cs="Times New Roman" w:ascii="Times New Roman" w:hAnsi="Times New Roman"/>
          <w:color w:val="auto"/>
          <w:sz w:val="20"/>
          <w:szCs w:val="20"/>
        </w:rPr>
        <w:t>Специфічна активація NLRP3-інфламасоми досягається екзогенними та ендогенними агоністами, які стимулюють олігомеризацію та активацію каспази-1. Показано кілька способів активації NLRP3-інфламасоми (рис. 3).</w:t>
      </w:r>
    </w:p>
    <w:p>
      <w:pPr>
        <w:pStyle w:val="Normal"/>
        <w:widowControl/>
        <w:bidi w:val="0"/>
        <w:spacing w:lineRule="auto" w:line="235" w:before="0" w:after="0"/>
        <w:ind w:left="0" w:right="0" w:firstLine="283"/>
        <w:jc w:val="both"/>
        <w:rPr/>
      </w:pPr>
      <w:r>
        <w:rPr>
          <w:rFonts w:eastAsia="Times New Roman" w:cs="Times New Roman" w:ascii="Times New Roman" w:hAnsi="Times New Roman"/>
          <w:color w:val="auto"/>
          <w:sz w:val="20"/>
          <w:szCs w:val="20"/>
        </w:rPr>
        <w:t>При канальній активації NLRP3-інфламасоми (А) позаклітинний АТФ приєднується до іонофору P2X7 та індукує відтік K</w:t>
      </w:r>
      <w:r>
        <w:rPr>
          <w:rFonts w:eastAsia="Times New Roman" w:cs="Times New Roman" w:ascii="Times New Roman" w:hAnsi="Times New Roman"/>
          <w:color w:val="auto"/>
          <w:sz w:val="11"/>
          <w:szCs w:val="11"/>
        </w:rPr>
        <w:t>+</w:t>
      </w:r>
      <w:r>
        <w:rPr>
          <w:rFonts w:eastAsia="Times New Roman" w:cs="Times New Roman" w:ascii="Times New Roman" w:hAnsi="Times New Roman"/>
          <w:color w:val="auto"/>
          <w:sz w:val="20"/>
          <w:szCs w:val="20"/>
        </w:rPr>
        <w:t>, що спричиняє утворення пори паннексину 1. Ця пора дозволяє проникати в цитоплазму позаклітинним факторам, які безпосередньо активують NLRP3-інфламасому.</w:t>
      </w:r>
    </w:p>
    <w:p>
      <w:pPr>
        <w:pStyle w:val="Normal"/>
        <w:widowControl/>
        <w:bidi w:val="0"/>
        <w:spacing w:lineRule="auto" w:line="235" w:before="0" w:after="0"/>
        <w:ind w:left="0" w:right="0" w:firstLine="283"/>
        <w:jc w:val="both"/>
        <w:rPr/>
      </w:pPr>
      <w:r>
        <w:rPr>
          <w:rFonts w:eastAsia="Times New Roman" w:cs="Times New Roman" w:ascii="Times New Roman" w:hAnsi="Times New Roman"/>
          <w:color w:val="auto"/>
          <w:sz w:val="20"/>
          <w:szCs w:val="20"/>
        </w:rPr>
        <w:t>При моделі розриву лізосом (В) DAMP, такі як амілоїд-</w:t>
      </w:r>
      <w:r>
        <w:rPr>
          <w:rFonts w:eastAsia="Arial" w:cs="Arial" w:ascii="Arial" w:hAnsi="Arial"/>
          <w:color w:val="auto"/>
          <w:sz w:val="20"/>
          <w:szCs w:val="20"/>
        </w:rPr>
        <w:t>β</w:t>
      </w:r>
      <w:r>
        <w:rPr>
          <w:rFonts w:eastAsia="Times New Roman" w:cs="Times New Roman" w:ascii="Times New Roman" w:hAnsi="Times New Roman"/>
          <w:color w:val="auto"/>
          <w:sz w:val="20"/>
          <w:szCs w:val="20"/>
        </w:rPr>
        <w:t>, алюміній і кремній, піддаються фагоцитозу, що призводить до розриву лізосом і вивільнення катепсину B з наступною прямою або непрямою активацією NLRP3-інфламасоми.</w:t>
      </w:r>
    </w:p>
    <w:p>
      <w:pPr>
        <w:pStyle w:val="Normal"/>
        <w:widowControl/>
        <w:bidi w:val="0"/>
        <w:spacing w:lineRule="auto" w:line="235" w:before="0" w:after="0"/>
        <w:ind w:left="0" w:right="0" w:firstLine="283"/>
        <w:jc w:val="both"/>
        <w:rPr/>
      </w:pPr>
      <w:r>
        <w:rPr>
          <w:rFonts w:eastAsia="Times New Roman" w:cs="Times New Roman" w:ascii="Times New Roman" w:hAnsi="Times New Roman"/>
          <w:color w:val="auto"/>
          <w:sz w:val="20"/>
          <w:szCs w:val="20"/>
        </w:rPr>
        <w:t>У випадку АФК-опосередкованої активації (С) АФК можуть бути індуковані шляхом клітинного стресу, викликаного DAMP, такими як холестерин, амілоїд, високий вміст глюкози і т.д. АФК також можуть бути результатом незавершеного фагоцитозу екзогенних DAMP, таких як алюміній, кремній, азбест та розвитку клітинного стресу. АТФ-індукований відтік K</w:t>
      </w:r>
      <w:r>
        <w:rPr>
          <w:rFonts w:eastAsia="Times New Roman" w:cs="Times New Roman" w:ascii="Times New Roman" w:hAnsi="Times New Roman"/>
          <w:color w:val="auto"/>
          <w:sz w:val="11"/>
          <w:szCs w:val="11"/>
        </w:rPr>
        <w:t>+</w:t>
      </w:r>
      <w:r>
        <w:rPr>
          <w:rFonts w:eastAsia="Times New Roman" w:cs="Times New Roman" w:ascii="Times New Roman" w:hAnsi="Times New Roman"/>
          <w:color w:val="auto"/>
          <w:sz w:val="20"/>
          <w:szCs w:val="20"/>
        </w:rPr>
        <w:t>є додатковим передбачуваним шляхом продукування АФК, і вважається, що він бере участь у вивільненні TXNIP з його комплексу з TRX, сприяючи олігомеризації інфламасоми. АФК також можуть бути утворені внаслідок фаголізосомної дестабілізації [35].</w:t>
      </w:r>
    </w:p>
    <w:p>
      <w:pPr>
        <w:pStyle w:val="Normal"/>
        <w:widowControl/>
        <w:bidi w:val="0"/>
        <w:spacing w:lineRule="auto" w:line="235" w:before="0" w:after="0"/>
        <w:ind w:left="0" w:right="0" w:firstLine="283"/>
        <w:jc w:val="both"/>
        <w:rPr/>
      </w:pPr>
      <w:r>
        <w:rPr>
          <w:rFonts w:eastAsia="Times New Roman" w:cs="Times New Roman" w:ascii="Times New Roman" w:hAnsi="Times New Roman"/>
          <w:color w:val="auto"/>
          <w:sz w:val="20"/>
          <w:szCs w:val="20"/>
        </w:rPr>
        <w:t>Таким чином, NLRP3-інфламасома – ключовий компонент запальної відповіді на інфекцію та пошкодження тканин, а при старінні – важливий фактор розвитку “inflammaging” [45].</w:t>
      </w:r>
    </w:p>
    <w:p>
      <w:pPr>
        <w:pStyle w:val="Normal"/>
        <w:widowControl/>
        <w:bidi w:val="0"/>
        <w:spacing w:lineRule="auto" w:line="235" w:before="0" w:after="0"/>
        <w:ind w:left="0" w:right="0" w:firstLine="283"/>
        <w:jc w:val="both"/>
        <w:rPr/>
      </w:pPr>
      <w:r>
        <w:rPr>
          <w:rFonts w:eastAsia="Times New Roman" w:cs="Times New Roman" w:ascii="Times New Roman" w:hAnsi="Times New Roman"/>
          <w:color w:val="auto"/>
          <w:sz w:val="20"/>
          <w:szCs w:val="20"/>
        </w:rPr>
        <w:t>"Inflammaging" вважається важливим фактором ризику захворюваності та смертності серед людей похилого віку [26]. Сьогодні добре відомо, що хронічне запалення лежить в основі вік-асоційованих захворювань, таких як остеопороз, атеросклероз, хвороба Альцгеймера, хвороба Паркінсона, цукровий діабет 2 типу [15, 28].</w:t>
      </w:r>
    </w:p>
    <w:p>
      <w:pPr>
        <w:pStyle w:val="Normal"/>
        <w:widowControl/>
        <w:bidi w:val="0"/>
        <w:spacing w:lineRule="auto" w:line="235" w:before="0" w:after="0"/>
        <w:ind w:left="0" w:right="0" w:firstLine="283"/>
        <w:jc w:val="both"/>
        <w:rPr/>
      </w:pPr>
      <w:r>
        <w:rPr>
          <w:rFonts w:eastAsia="Times New Roman" w:cs="Times New Roman" w:ascii="Times New Roman" w:hAnsi="Times New Roman"/>
          <w:color w:val="auto"/>
          <w:sz w:val="20"/>
          <w:szCs w:val="20"/>
        </w:rPr>
        <w:t>Показано, що високі рівні прозапальних цитокінів пов'язані з підвищеним ризиком захворюваності та смертності у літньому віці [68]. Так, підвищення рівня IL-6 є фактором ризику, асоційованим із серцево-судинними захворюваннями, саркопенією та втратою м'язової маси [32].</w:t>
      </w:r>
    </w:p>
    <w:p>
      <w:pPr>
        <w:pStyle w:val="Normal"/>
        <w:widowControl/>
        <w:bidi w:val="0"/>
        <w:spacing w:lineRule="auto" w:line="235" w:before="0" w:after="0"/>
        <w:ind w:left="0" w:right="0" w:firstLine="283"/>
        <w:jc w:val="both"/>
        <w:rPr/>
      </w:pPr>
      <w:r>
        <w:rPr>
          <w:rFonts w:eastAsia="Times New Roman" w:cs="Times New Roman" w:ascii="Times New Roman" w:hAnsi="Times New Roman"/>
          <w:color w:val="auto"/>
          <w:sz w:val="20"/>
          <w:szCs w:val="20"/>
        </w:rPr>
        <w:t>IL-12 відіграє роль у розвитку серцево-судинних захворювань, таких як атеросклероз, інфаркт міокарда та інсульт. Пацієнти із серцево-судинними захворюваннями демонструють підвищений рівень IL-12, що свідчить про несприятливий довгостроковий прогноз після перенесеного гострого інфаркту міокарда.</w:t>
      </w:r>
    </w:p>
    <w:p>
      <w:pPr>
        <w:pStyle w:val="Normal"/>
        <w:widowControl/>
        <w:bidi w:val="0"/>
        <w:spacing w:lineRule="auto" w:line="235" w:before="0" w:after="0"/>
        <w:ind w:left="0" w:right="0" w:firstLine="283"/>
        <w:jc w:val="both"/>
        <w:rPr/>
      </w:pPr>
      <w:r>
        <w:rPr>
          <w:rFonts w:eastAsia="Times New Roman" w:cs="Times New Roman" w:ascii="Times New Roman" w:hAnsi="Times New Roman"/>
          <w:color w:val="auto"/>
          <w:sz w:val="20"/>
          <w:szCs w:val="20"/>
        </w:rPr>
        <w:t>Встановлено, що підвищення IL-1 асоційовано з розвитком когнітивних порушень, хвороби Альцгеймера та є фактором ризику розвитку депресивних симптомів у похилому віці.</w:t>
      </w:r>
    </w:p>
    <w:p>
      <w:pPr>
        <w:pStyle w:val="Normal"/>
        <w:widowControl/>
        <w:bidi w:val="0"/>
        <w:spacing w:lineRule="auto" w:line="235" w:before="0" w:after="0"/>
        <w:ind w:left="0" w:right="0" w:firstLine="283"/>
        <w:jc w:val="both"/>
        <w:rPr/>
      </w:pPr>
      <w:r>
        <w:rPr>
          <w:rFonts w:eastAsia="Times New Roman" w:cs="Times New Roman" w:ascii="Times New Roman" w:hAnsi="Times New Roman"/>
          <w:color w:val="auto"/>
          <w:sz w:val="20"/>
          <w:szCs w:val="20"/>
        </w:rPr>
        <w:t>Показано, що високий рівень IL-18 асоційований із серцевою недостатністю, ішемічною хворобою серця та цукровим діабетом 1 типу, а також із хворобою Альцгеймера. Нещодавнє дослідження показало, що IL-18 є предиктором смертності від серцевої недостатності групи вісімдесятирічних. Продовження спостереження (в середньому 2,4 року) продемонструвало, що померлі від серцевої недостатності мали більш високі значення IL-18 у сироватці порівняно з тими, що залишилися живими.</w:t>
      </w:r>
    </w:p>
    <w:p>
      <w:pPr>
        <w:pStyle w:val="Normal"/>
        <w:widowControl/>
        <w:bidi w:val="0"/>
        <w:spacing w:lineRule="auto" w:line="235" w:before="0" w:after="0"/>
        <w:ind w:left="0" w:right="0" w:firstLine="283"/>
        <w:jc w:val="both"/>
        <w:rPr/>
      </w:pPr>
      <w:r>
        <w:rPr>
          <w:rFonts w:eastAsia="Times New Roman" w:cs="Times New Roman" w:ascii="Times New Roman" w:hAnsi="Times New Roman"/>
          <w:color w:val="auto"/>
          <w:sz w:val="20"/>
          <w:szCs w:val="20"/>
        </w:rPr>
        <w:t>У низці досліджень показано, що концентрація TNF</w:t>
      </w:r>
      <w:r>
        <w:rPr>
          <w:rFonts w:eastAsia="Arial" w:cs="Arial" w:ascii="Arial" w:hAnsi="Arial"/>
          <w:color w:val="auto"/>
          <w:sz w:val="20"/>
          <w:szCs w:val="20"/>
        </w:rPr>
        <w:t xml:space="preserve">α </w:t>
      </w:r>
      <w:r>
        <w:rPr>
          <w:rFonts w:eastAsia="Times New Roman" w:cs="Times New Roman" w:ascii="Times New Roman" w:hAnsi="Times New Roman"/>
          <w:color w:val="auto"/>
          <w:sz w:val="20"/>
          <w:szCs w:val="20"/>
        </w:rPr>
        <w:t>збільшується внутрішньоклітинно у літніх людей, вісімдесятирічних та столітніх з атеросклерозом та асоційована зі смертністю. У пацієнтів, які перенесли інфаркт міокарда, підвищення TNF</w:t>
      </w:r>
      <w:r>
        <w:rPr>
          <w:rFonts w:eastAsia="Arial" w:cs="Arial" w:ascii="Arial" w:hAnsi="Arial"/>
          <w:color w:val="auto"/>
          <w:sz w:val="20"/>
          <w:szCs w:val="20"/>
        </w:rPr>
        <w:t>α</w:t>
      </w:r>
      <w:r>
        <w:rPr>
          <w:rFonts w:eastAsia="Times New Roman" w:cs="Times New Roman" w:ascii="Times New Roman" w:hAnsi="Times New Roman"/>
          <w:color w:val="auto"/>
          <w:sz w:val="20"/>
          <w:szCs w:val="20"/>
        </w:rPr>
        <w:t>збільшує ризик повторних серцевих подій. TNF</w:t>
      </w:r>
      <w:r>
        <w:rPr>
          <w:rFonts w:eastAsia="Arial" w:cs="Arial" w:ascii="Arial" w:hAnsi="Arial"/>
          <w:color w:val="auto"/>
          <w:sz w:val="20"/>
          <w:szCs w:val="20"/>
        </w:rPr>
        <w:t>α</w:t>
      </w:r>
      <w:r>
        <w:rPr>
          <w:rFonts w:eastAsia="Times New Roman" w:cs="Times New Roman" w:ascii="Times New Roman" w:hAnsi="Times New Roman"/>
          <w:color w:val="auto"/>
          <w:sz w:val="20"/>
          <w:szCs w:val="20"/>
        </w:rPr>
        <w:t xml:space="preserve"> опосередковує метаболічні зміни, та підвищений TNF</w:t>
      </w:r>
      <w:r>
        <w:rPr>
          <w:rFonts w:eastAsia="Arial" w:cs="Arial" w:ascii="Arial" w:hAnsi="Arial"/>
          <w:color w:val="auto"/>
          <w:sz w:val="20"/>
          <w:szCs w:val="20"/>
        </w:rPr>
        <w:t>α</w:t>
      </w:r>
      <w:r>
        <w:rPr>
          <w:rFonts w:eastAsia="Times New Roman" w:cs="Times New Roman" w:ascii="Times New Roman" w:hAnsi="Times New Roman"/>
          <w:color w:val="auto"/>
          <w:sz w:val="20"/>
          <w:szCs w:val="20"/>
        </w:rPr>
        <w:t xml:space="preserve"> був виявлений при цукровому діабеті 2 типу [10].</w:t>
      </w:r>
    </w:p>
    <w:p>
      <w:pPr>
        <w:pStyle w:val="Normal"/>
        <w:widowControl/>
        <w:bidi w:val="0"/>
        <w:spacing w:lineRule="auto" w:line="235" w:before="0" w:after="0"/>
        <w:ind w:left="0" w:right="0" w:firstLine="283"/>
        <w:jc w:val="both"/>
        <w:rPr/>
      </w:pPr>
      <w:r>
        <w:rPr>
          <w:rFonts w:eastAsia="Times New Roman" w:cs="Times New Roman" w:ascii="Times New Roman" w:hAnsi="Times New Roman"/>
          <w:color w:val="auto"/>
          <w:sz w:val="20"/>
          <w:szCs w:val="20"/>
        </w:rPr>
        <w:t>Тривалий вплив різних антигенів та стресорів призводить до розвитку хронічного окисного стресу. Вільні радикали, що продукуються клітинами при окисному стресі, викликає окисне пошкодження біомолекул, яке, як вважається, робить значний внесок у процес старіння. Цей окисний процес призводить до вивільнення DAMP, які ініціюють процес стерильного запалення через PRR, такі як TLR та NLRP3. Сигнали небезпеки ініціюють імунні реакції, необхідні для фізіологічного відновлення, однак, у міру накопичення пошкоджень, вони можуть стати хронічними і, отже, неадаптивними. Тому у літньому віці DAMP-індуковане хронічне запалення зустрічається частіше, ніж у молодих людей.</w:t>
      </w:r>
    </w:p>
    <w:p>
      <w:pPr>
        <w:pStyle w:val="Normal"/>
        <w:widowControl/>
        <w:bidi w:val="0"/>
        <w:spacing w:lineRule="auto" w:line="235" w:before="0" w:after="0"/>
        <w:ind w:left="0" w:right="0" w:firstLine="283"/>
        <w:jc w:val="both"/>
        <w:rPr/>
      </w:pPr>
      <w:r>
        <w:rPr>
          <w:rFonts w:eastAsia="Times New Roman" w:cs="Times New Roman" w:ascii="Times New Roman" w:hAnsi="Times New Roman"/>
          <w:color w:val="auto"/>
          <w:sz w:val="20"/>
          <w:szCs w:val="20"/>
        </w:rPr>
        <w:t>DAMP-залежне хронічне стерильне запалення є ключовою ланкою у розвитку вік-асоційованої патології (табл. 1).</w:t>
      </w:r>
    </w:p>
    <w:p>
      <w:pPr>
        <w:pStyle w:val="Normal"/>
        <w:widowControl/>
        <w:bidi w:val="0"/>
        <w:spacing w:lineRule="auto" w:line="235" w:before="0" w:after="0"/>
        <w:ind w:left="0" w:right="0" w:firstLine="283"/>
        <w:jc w:val="both"/>
        <w:rPr/>
      </w:pPr>
      <w:r>
        <w:rPr>
          <w:rFonts w:eastAsia="Times New Roman" w:cs="Times New Roman" w:ascii="Times New Roman" w:hAnsi="Times New Roman"/>
          <w:color w:val="auto"/>
          <w:sz w:val="20"/>
          <w:szCs w:val="20"/>
        </w:rPr>
        <w:t>Старіння сприяє розвитку атеросклерозу, хронічного запального захворювання артерій, що характеризується відкладенням ліпідів у стінці артерії. Кристали холестерину та IL-1</w:t>
      </w:r>
      <w:r>
        <w:rPr>
          <w:rFonts w:eastAsia="Arial" w:cs="Arial" w:ascii="Arial" w:hAnsi="Arial"/>
          <w:color w:val="auto"/>
          <w:sz w:val="20"/>
          <w:szCs w:val="20"/>
        </w:rPr>
        <w:t>α</w:t>
      </w:r>
      <w:r>
        <w:rPr>
          <w:rFonts w:eastAsia="Times New Roman" w:cs="Times New Roman" w:ascii="Times New Roman" w:hAnsi="Times New Roman"/>
          <w:color w:val="auto"/>
          <w:sz w:val="20"/>
          <w:szCs w:val="20"/>
        </w:rPr>
        <w:t xml:space="preserve"> вивільняються з пошкоджених клітин або тканин, так само як DAMP, викликаючи прозапальні реакції при цьому захворюванні [47].</w:t>
      </w:r>
    </w:p>
    <w:p>
      <w:pPr>
        <w:pStyle w:val="Normal"/>
        <w:widowControl/>
        <w:bidi w:val="0"/>
        <w:spacing w:lineRule="auto" w:line="235" w:before="0" w:after="0"/>
        <w:ind w:left="0" w:right="0" w:firstLine="283"/>
        <w:jc w:val="both"/>
        <w:rPr/>
      </w:pPr>
      <w:r>
        <w:rPr>
          <w:rFonts w:eastAsia="Times New Roman" w:cs="Times New Roman" w:ascii="Times New Roman" w:hAnsi="Times New Roman"/>
          <w:color w:val="auto"/>
          <w:sz w:val="20"/>
          <w:szCs w:val="20"/>
        </w:rPr>
        <w:t>Кристали холестерину активують NLRP3 за допомогою механізму вивільнення лізосомальних катепсинів, відтоку АФК та ​​К</w:t>
      </w:r>
      <w:r>
        <w:rPr>
          <w:rFonts w:eastAsia="Times New Roman" w:cs="Times New Roman" w:ascii="Times New Roman" w:hAnsi="Times New Roman"/>
          <w:color w:val="auto"/>
          <w:sz w:val="11"/>
          <w:szCs w:val="11"/>
        </w:rPr>
        <w:t>+</w:t>
      </w:r>
      <w:r>
        <w:rPr>
          <w:rFonts w:eastAsia="Times New Roman" w:cs="Times New Roman" w:ascii="Times New Roman" w:hAnsi="Times New Roman"/>
          <w:color w:val="auto"/>
          <w:sz w:val="20"/>
          <w:szCs w:val="20"/>
        </w:rPr>
        <w:t>.</w:t>
      </w:r>
    </w:p>
    <w:p>
      <w:pPr>
        <w:pStyle w:val="Normal"/>
        <w:widowControl/>
        <w:bidi w:val="0"/>
        <w:spacing w:lineRule="auto" w:line="235" w:before="0" w:after="0"/>
        <w:ind w:left="0" w:right="0" w:firstLine="283"/>
        <w:jc w:val="both"/>
        <w:rPr/>
      </w:pPr>
      <w:r>
        <w:rPr>
          <w:rFonts w:eastAsia="Times New Roman" w:cs="Times New Roman" w:ascii="Times New Roman" w:hAnsi="Times New Roman"/>
          <w:color w:val="auto"/>
          <w:sz w:val="20"/>
          <w:szCs w:val="20"/>
        </w:rPr>
        <w:t>Активація NLRP3 кристалами холестерину призводить до сталого вивільнення IL-1</w:t>
      </w:r>
      <w:r>
        <w:rPr>
          <w:rFonts w:eastAsia="Arial" w:cs="Arial" w:ascii="Arial" w:hAnsi="Arial"/>
          <w:color w:val="auto"/>
          <w:sz w:val="20"/>
          <w:szCs w:val="20"/>
        </w:rPr>
        <w:t>β</w:t>
      </w:r>
      <w:r>
        <w:rPr>
          <w:rFonts w:eastAsia="Times New Roman" w:cs="Times New Roman" w:ascii="Times New Roman" w:hAnsi="Times New Roman"/>
          <w:color w:val="auto"/>
          <w:sz w:val="20"/>
          <w:szCs w:val="20"/>
        </w:rPr>
        <w:t>, що веде до запальної відповіді [20, 66]. DAMP, що утворюються в результаті окислення, також активують TLR і, таким чином, викликають запалення.</w:t>
      </w:r>
    </w:p>
    <w:p>
      <w:pPr>
        <w:pStyle w:val="Normal"/>
        <w:widowControl/>
        <w:bidi w:val="0"/>
        <w:spacing w:lineRule="auto" w:line="235" w:before="0" w:after="0"/>
        <w:ind w:left="0" w:right="0" w:firstLine="283"/>
        <w:jc w:val="both"/>
        <w:rPr/>
      </w:pPr>
      <w:r>
        <w:rPr>
          <w:rFonts w:eastAsia="Times New Roman" w:cs="Times New Roman" w:ascii="Times New Roman" w:hAnsi="Times New Roman"/>
          <w:color w:val="auto"/>
          <w:sz w:val="20"/>
          <w:szCs w:val="20"/>
        </w:rPr>
        <w:t>Показано, що DAMP-залежне запалення лежить в основі нейродегенеративних захворювань: хвороби Альцгеймера та хвороби Паркінсона [82]. Хвороба Альцгеймера (БА) є нейродегенеративним захворюванням, що характеризується загибеллю клітин центральної нервової системи і прогресуючою деменцією. Неспадкова БА найчастіше розвивається у дорослих старше 65 років. Передбачається, що позаклітинне накопичення амілоїду-</w:t>
      </w:r>
      <w:r>
        <w:rPr>
          <w:rFonts w:eastAsia="Arial" w:cs="Arial" w:ascii="Arial" w:hAnsi="Arial"/>
          <w:color w:val="auto"/>
          <w:sz w:val="20"/>
          <w:szCs w:val="20"/>
        </w:rPr>
        <w:t>β</w:t>
      </w:r>
      <w:r>
        <w:rPr>
          <w:rFonts w:eastAsia="Times New Roman" w:cs="Times New Roman" w:ascii="Times New Roman" w:hAnsi="Times New Roman"/>
          <w:color w:val="auto"/>
          <w:sz w:val="20"/>
          <w:szCs w:val="20"/>
        </w:rPr>
        <w:t>у сенільних бляшках є фактором, що сприяє патогенезу бронхіальної астми. Показано, що ендогенний пептид амілоїд-</w:t>
      </w:r>
      <w:r>
        <w:rPr>
          <w:rFonts w:eastAsia="Arial" w:cs="Arial" w:ascii="Arial" w:hAnsi="Arial"/>
          <w:color w:val="auto"/>
          <w:sz w:val="20"/>
          <w:szCs w:val="20"/>
        </w:rPr>
        <w:t>β</w:t>
      </w:r>
      <w:r>
        <w:rPr>
          <w:rFonts w:eastAsia="Times New Roman" w:cs="Times New Roman" w:ascii="Times New Roman" w:hAnsi="Times New Roman"/>
          <w:color w:val="auto"/>
          <w:sz w:val="20"/>
          <w:szCs w:val="20"/>
        </w:rPr>
        <w:t>, який утворює нерозчинні фібрили в мозку пацієнтів з бронхіальною астмою, активує NLRP3-інфламасому і що NLRP3-інфламасома бере участь у процесі фагоцитозу амілоїду-</w:t>
      </w:r>
      <w:r>
        <w:rPr>
          <w:rFonts w:eastAsia="Arial" w:cs="Arial" w:ascii="Arial" w:hAnsi="Arial"/>
          <w:color w:val="auto"/>
          <w:sz w:val="20"/>
          <w:szCs w:val="20"/>
        </w:rPr>
        <w:t>β</w:t>
      </w:r>
      <w:r>
        <w:rPr>
          <w:rFonts w:eastAsia="Times New Roman" w:cs="Times New Roman" w:ascii="Times New Roman" w:hAnsi="Times New Roman"/>
          <w:color w:val="auto"/>
          <w:sz w:val="20"/>
          <w:szCs w:val="20"/>
        </w:rPr>
        <w:t>клітинами мікроглії та макрофагами [35]. Крім того, дослідники припускають, що шлях NLRP3-каспазу-1 індукує секрецію критичних рівнів прозапальних, хемотаксичних та потенційно нейротоксичних цитокінів, включаючи TNF та оксид азоту [35]. Таким чином, амілоїд-</w:t>
      </w:r>
      <w:r>
        <w:rPr>
          <w:rFonts w:eastAsia="Arial" w:cs="Arial" w:ascii="Arial" w:hAnsi="Arial"/>
          <w:color w:val="auto"/>
          <w:sz w:val="20"/>
          <w:szCs w:val="20"/>
        </w:rPr>
        <w:t>β</w:t>
      </w:r>
      <w:r>
        <w:rPr>
          <w:rFonts w:eastAsia="Times New Roman" w:cs="Times New Roman" w:ascii="Times New Roman" w:hAnsi="Times New Roman"/>
          <w:color w:val="auto"/>
          <w:sz w:val="20"/>
          <w:szCs w:val="20"/>
        </w:rPr>
        <w:t xml:space="preserve"> діє як NLRP3-активуючий DAMP при ХА, сприяючи стерильному запаленню при цьому захворюванні.</w:t>
      </w:r>
    </w:p>
    <w:p>
      <w:pPr>
        <w:pStyle w:val="Normal"/>
        <w:widowControl/>
        <w:bidi w:val="0"/>
        <w:spacing w:lineRule="auto" w:line="235" w:before="0" w:after="0"/>
        <w:ind w:left="0" w:right="0" w:firstLine="283"/>
        <w:jc w:val="both"/>
        <w:rPr/>
      </w:pPr>
      <w:r>
        <w:rPr>
          <w:rFonts w:eastAsia="Times New Roman" w:cs="Times New Roman" w:ascii="Times New Roman" w:hAnsi="Times New Roman"/>
          <w:color w:val="auto"/>
          <w:sz w:val="20"/>
          <w:szCs w:val="20"/>
        </w:rPr>
        <w:t xml:space="preserve">Хвороба Паркінсона є нейродегенеративним розладом, що характеризується втратою дофамінергічних нейронів чорної субстанції, накопиченням </w:t>
      </w:r>
      <w:r>
        <w:rPr>
          <w:rFonts w:eastAsia="Arial" w:cs="Arial" w:ascii="Arial" w:hAnsi="Arial"/>
          <w:color w:val="auto"/>
          <w:sz w:val="20"/>
          <w:szCs w:val="20"/>
        </w:rPr>
        <w:t>α</w:t>
      </w:r>
      <w:r>
        <w:rPr>
          <w:rFonts w:eastAsia="Times New Roman" w:cs="Times New Roman" w:ascii="Times New Roman" w:hAnsi="Times New Roman"/>
          <w:color w:val="auto"/>
          <w:sz w:val="20"/>
          <w:szCs w:val="20"/>
        </w:rPr>
        <w:t>-синуклеїну в тільцях Леві, а також нейрозапалення [3, 16]. Дедалі більше фактів свідчить у тому, що неправильно складений</w:t>
      </w:r>
      <w:r>
        <w:rPr>
          <w:rFonts w:eastAsia="Arial" w:cs="Arial" w:ascii="Arial" w:hAnsi="Arial"/>
          <w:color w:val="auto"/>
          <w:sz w:val="20"/>
          <w:szCs w:val="20"/>
        </w:rPr>
        <w:t>α</w:t>
      </w:r>
      <w:r>
        <w:rPr>
          <w:rFonts w:eastAsia="Times New Roman" w:cs="Times New Roman" w:ascii="Times New Roman" w:hAnsi="Times New Roman"/>
          <w:color w:val="auto"/>
          <w:sz w:val="20"/>
          <w:szCs w:val="20"/>
        </w:rPr>
        <w:t>-синуклеїн сприяє розвитку запалення та окисного стресу, що призводить до нейродегенерації [16, 19]. Важливо, що</w:t>
      </w:r>
      <w:r>
        <w:rPr>
          <w:rFonts w:eastAsia="Arial" w:cs="Arial" w:ascii="Arial" w:hAnsi="Arial"/>
          <w:color w:val="auto"/>
          <w:sz w:val="20"/>
          <w:szCs w:val="20"/>
        </w:rPr>
        <w:t>α</w:t>
      </w:r>
      <w:r>
        <w:rPr>
          <w:rFonts w:eastAsia="Times New Roman" w:cs="Times New Roman" w:ascii="Times New Roman" w:hAnsi="Times New Roman"/>
          <w:color w:val="auto"/>
          <w:sz w:val="20"/>
          <w:szCs w:val="20"/>
        </w:rPr>
        <w:t>-синуклеїн активує мікроглію за допомогою CD36; однак інші PRR також, мабуть, можуть розпізнавати</w:t>
      </w:r>
      <w:r>
        <w:rPr>
          <w:rFonts w:eastAsia="Arial" w:cs="Arial" w:ascii="Arial" w:hAnsi="Arial"/>
          <w:color w:val="auto"/>
          <w:sz w:val="20"/>
          <w:szCs w:val="20"/>
        </w:rPr>
        <w:t>α</w:t>
      </w:r>
      <w:r>
        <w:rPr>
          <w:rFonts w:eastAsia="Times New Roman" w:cs="Times New Roman" w:ascii="Times New Roman" w:hAnsi="Times New Roman"/>
          <w:color w:val="auto"/>
          <w:sz w:val="20"/>
          <w:szCs w:val="20"/>
        </w:rPr>
        <w:t>-Синуклеїн [79, 80]. При ініціації прозапального шляху активована мікроглія сприяє окислювальному стресу за рахунок вивільнення цитокінів, оксиду азоту та інших АФК, які можуть негативно впливати на сусідні нейрони. Ці дані дозволяють припустити, що</w:t>
      </w:r>
      <w:r>
        <w:rPr>
          <w:rFonts w:eastAsia="Arial" w:cs="Arial" w:ascii="Arial" w:hAnsi="Arial"/>
          <w:color w:val="auto"/>
          <w:sz w:val="20"/>
          <w:szCs w:val="20"/>
        </w:rPr>
        <w:t>α</w:t>
      </w:r>
      <w:r>
        <w:rPr>
          <w:rFonts w:eastAsia="Times New Roman" w:cs="Times New Roman" w:ascii="Times New Roman" w:hAnsi="Times New Roman"/>
          <w:color w:val="auto"/>
          <w:sz w:val="20"/>
          <w:szCs w:val="20"/>
        </w:rPr>
        <w:t xml:space="preserve">-синуклеїн може діяти як DAMP-активуючий мікрогліальні PRR і викликає окислювальний стрес [8]. Цукровий діабет 2 типу (ЦД2) – це метаболічне захворювання, основним механізмом розвитку якого є зниження чутливості до інсуліну органів-мішеней унаслідок зміни внутрішньоклітинних сигнальних шляхів [72, 76]. ЦД2 може проявлятися як окреме захворювання або бути частиною метаболічного синдрому, асоційованого з ожирінням. Аді-покіни (цитокіни, секретовані адипоцитами) мають прозапальні (наприклад, резистин) або протизапальні (наприклад, адипонектин) ефекти. У міру накопичення жиру в організмі та розвитку ожиріння баланс між про- та протизапальним </w:t>
      </w:r>
      <w:r>
        <w:rPr>
          <w:rFonts w:eastAsia="Times New Roman" w:cs="Times New Roman" w:ascii="Times New Roman" w:hAnsi="Times New Roman"/>
          <w:color w:val="auto"/>
          <w:sz w:val="20"/>
          <w:szCs w:val="20"/>
          <w:lang w:val="uk-UA"/>
        </w:rPr>
        <w:t>адипок</w:t>
      </w:r>
      <w:r>
        <w:rPr>
          <w:rFonts w:eastAsia="Times New Roman" w:cs="Times New Roman" w:ascii="Times New Roman" w:hAnsi="Times New Roman"/>
          <w:color w:val="auto"/>
          <w:sz w:val="20"/>
          <w:szCs w:val="20"/>
          <w:lang w:val="en-US"/>
        </w:rPr>
        <w:t>і</w:t>
      </w:r>
      <w:r>
        <w:rPr>
          <w:rFonts w:eastAsia="Times New Roman" w:cs="Times New Roman" w:ascii="Times New Roman" w:hAnsi="Times New Roman"/>
          <w:color w:val="auto"/>
          <w:sz w:val="20"/>
          <w:szCs w:val="20"/>
          <w:lang w:val="uk-UA"/>
        </w:rPr>
        <w:t>нами</w:t>
      </w:r>
      <w:r>
        <w:rPr>
          <w:rFonts w:eastAsia="Times New Roman" w:cs="Times New Roman" w:ascii="Times New Roman" w:hAnsi="Times New Roman"/>
          <w:color w:val="auto"/>
          <w:sz w:val="20"/>
          <w:szCs w:val="20"/>
        </w:rPr>
        <w:t xml:space="preserve"> зрушується у бік переважання перших. Таким чином, вікове ожиріння внаслідок відносного надлишку прозапальних адипокінів може сприяти розвитку запальних процесів. [92]. Запалення жирової тканини, особливо білої вісцеральної тканини, є основним фактором розвитку резистентності до інсуліну. У порівнянні з худими людьми, біла жирова тканина від дорослих, які страждають на ожиріння, виділяє вищі рівні TNF</w:t>
      </w:r>
      <w:r>
        <w:rPr>
          <w:rFonts w:eastAsia="Arial" w:cs="Arial" w:ascii="Arial" w:hAnsi="Arial"/>
          <w:color w:val="auto"/>
          <w:sz w:val="20"/>
          <w:szCs w:val="20"/>
        </w:rPr>
        <w:t>α,</w:t>
      </w:r>
      <w:r>
        <w:rPr>
          <w:rFonts w:eastAsia="Times New Roman" w:cs="Times New Roman" w:ascii="Times New Roman" w:hAnsi="Times New Roman"/>
          <w:color w:val="auto"/>
          <w:sz w:val="20"/>
          <w:szCs w:val="20"/>
        </w:rPr>
        <w:t xml:space="preserve"> запального цитокіну, що впливає на передачу сигналів інсуліну [49].</w:t>
      </w:r>
    </w:p>
    <w:p>
      <w:pPr>
        <w:pStyle w:val="Normal"/>
        <w:widowControl/>
        <w:bidi w:val="0"/>
        <w:spacing w:lineRule="auto" w:line="235" w:before="0" w:after="0"/>
        <w:ind w:left="0" w:right="0" w:firstLine="283"/>
        <w:jc w:val="both"/>
        <w:rPr/>
      </w:pPr>
      <w:r>
        <w:rPr>
          <w:rFonts w:eastAsia="Times New Roman" w:cs="Times New Roman" w:ascii="Times New Roman" w:hAnsi="Times New Roman"/>
          <w:color w:val="auto"/>
          <w:sz w:val="20"/>
          <w:szCs w:val="20"/>
        </w:rPr>
        <w:t>Показано роль TLR, зокрема TLR2, в ініціації та патогенезі СД2 та пов'язаних з ним ускладнень. Різні екзогенні та ендогенні ліганди активують TLR2-опосередковані шляхи з подальшим виробленням АФК та ​​прозапальних цитокінів. Встановлено, що експресія TLR2 позитивно корелює з підвищеним рівнем вільних жирних кислот та глюкози у сироватці крові, а також з ожирінням та негативно – з рівнем інсуліну [74].</w:t>
      </w:r>
    </w:p>
    <w:p>
      <w:pPr>
        <w:pStyle w:val="Normal"/>
        <w:widowControl/>
        <w:bidi w:val="0"/>
        <w:spacing w:lineRule="auto" w:line="235" w:before="0" w:after="0"/>
        <w:ind w:left="0" w:right="0" w:firstLine="283"/>
        <w:jc w:val="both"/>
        <w:rPr/>
      </w:pPr>
      <w:r>
        <w:rPr>
          <w:rFonts w:eastAsia="Times New Roman" w:cs="Times New Roman" w:ascii="Times New Roman" w:hAnsi="Times New Roman"/>
          <w:color w:val="auto"/>
          <w:sz w:val="20"/>
          <w:szCs w:val="20"/>
        </w:rPr>
        <w:t>Процесинг та секреція прозапальних цитокінів при ЦД2 регулюються інфламасомами, зокрема NLRP3-інфламасомою. NLRP3 розпізнають DAMP, які включають різні побічні продукти метаболізму, такі як острівний амілоїдний поліпептид (амілін), і викликають стерильне запалення [14, 73, 75]. Як сенсор метаболічної небезпеки NLRP3-інфламасома контролює резистентність до інсуліну та клітинну недостатність при ЦД2 [78, 87].</w:t>
      </w:r>
    </w:p>
    <w:p>
      <w:pPr>
        <w:pStyle w:val="Normal"/>
        <w:widowControl/>
        <w:bidi w:val="0"/>
        <w:spacing w:lineRule="auto" w:line="235" w:before="0" w:after="0"/>
        <w:ind w:left="0" w:right="0" w:firstLine="283"/>
        <w:jc w:val="both"/>
        <w:rPr/>
      </w:pPr>
      <w:r>
        <w:rPr>
          <w:rFonts w:eastAsia="Times New Roman" w:cs="Times New Roman" w:ascii="Times New Roman" w:hAnsi="Times New Roman"/>
          <w:color w:val="auto"/>
          <w:sz w:val="20"/>
          <w:szCs w:val="20"/>
        </w:rPr>
        <w:t>Таким чином, запальне старіння (inflammaging) є одним із проявів імуностаріння і є фактором ризику захворюваності та смертності серед людей похилого віку. Оскільки різні хронічні захворювання, пов'язані з віком, безпосередньо пов'язані з PAMP- та DAMP-індукованою TLR або NLRP3-опосередкованою запальною відповіддю, ці ліганди та їх рецептори можуть розглядатися як біомаркери та інтервенційні мішені при віковій патології. Незважаючи на численні дослідження при вік-асоційованих патологіях, дослідження вкладу компонентів уродженого імунітету при здоровому старінні недостатні. Залишається неясним, чи запальний фенотип є проявом здорового старіння чи асоційований з розвитком вікової патології.</w:t>
      </w:r>
    </w:p>
    <w:p>
      <w:pPr>
        <w:pStyle w:val="Normal"/>
        <w:widowControl/>
        <w:bidi w:val="0"/>
        <w:spacing w:lineRule="auto" w:line="235" w:before="0" w:after="0"/>
        <w:ind w:left="0" w:right="0" w:firstLine="283"/>
        <w:jc w:val="both"/>
        <w:rPr>
          <w:rFonts w:ascii="Times New Roman" w:hAnsi="Times New Roman" w:eastAsia="Times New Roman" w:cs="Times New Roman"/>
          <w:b/>
          <w:b/>
          <w:bCs/>
          <w:color w:val="auto"/>
          <w:sz w:val="20"/>
          <w:szCs w:val="20"/>
        </w:rPr>
      </w:pPr>
      <w:r>
        <w:rPr>
          <w:rFonts w:eastAsia="Times New Roman" w:cs="Times New Roman" w:ascii="Times New Roman" w:hAnsi="Times New Roman"/>
          <w:b/>
          <w:bCs/>
          <w:color w:val="auto"/>
          <w:sz w:val="20"/>
          <w:szCs w:val="20"/>
        </w:rPr>
      </w:r>
    </w:p>
    <w:p>
      <w:pPr>
        <w:pStyle w:val="Normal"/>
        <w:widowControl/>
        <w:bidi w:val="0"/>
        <w:spacing w:lineRule="auto" w:line="235" w:before="0" w:after="0"/>
        <w:ind w:left="0" w:right="0" w:firstLine="283"/>
        <w:jc w:val="both"/>
        <w:rPr>
          <w:rFonts w:ascii="Times New Roman" w:hAnsi="Times New Roman" w:eastAsia="Times New Roman" w:cs="Times New Roman"/>
          <w:b/>
          <w:b/>
          <w:bCs/>
          <w:color w:val="auto"/>
          <w:sz w:val="20"/>
          <w:szCs w:val="20"/>
        </w:rPr>
      </w:pPr>
      <w:r>
        <w:rPr>
          <w:rFonts w:eastAsia="Times New Roman" w:cs="Times New Roman" w:ascii="Times New Roman" w:hAnsi="Times New Roman"/>
          <w:b/>
          <w:bCs/>
          <w:color w:val="auto"/>
          <w:sz w:val="20"/>
          <w:szCs w:val="20"/>
        </w:rPr>
      </w:r>
    </w:p>
    <w:p>
      <w:pPr>
        <w:pStyle w:val="Normal"/>
        <w:widowControl/>
        <w:bidi w:val="0"/>
        <w:spacing w:lineRule="auto" w:line="235" w:before="0" w:after="0"/>
        <w:ind w:left="0" w:right="0" w:firstLine="283"/>
        <w:jc w:val="both"/>
        <w:rPr/>
      </w:pPr>
      <w:r>
        <w:rPr>
          <w:rFonts w:eastAsia="Arial Narrow" w:cs="Arial Narrow" w:ascii="Arial Narrow" w:hAnsi="Arial Narrow"/>
          <w:b/>
          <w:bCs/>
          <w:color w:val="auto"/>
          <w:sz w:val="20"/>
          <w:szCs w:val="20"/>
        </w:rPr>
        <w:t>ТАБЛИЦЯ 1. DAMP, ЇХ РЕЦЕПТОРИ ТА ЕФЕКТОРНІ МОЛЕКУЛИ ПРИ ДЕЯКИХ ВІК-АСОЦІЙОВАНИХ ПАТОЛОГІЯХ</w:t>
      </w:r>
    </w:p>
    <w:p>
      <w:pPr>
        <w:sectPr>
          <w:type w:val="nextPage"/>
          <w:pgSz w:w="11906" w:h="16838"/>
          <w:pgMar w:left="1191" w:right="1086" w:header="0" w:top="409" w:footer="0" w:bottom="458" w:gutter="0"/>
          <w:pgNumType w:fmt="decimal"/>
          <w:formProt w:val="false"/>
          <w:textDirection w:val="lrTb"/>
          <w:docGrid w:type="default" w:linePitch="600" w:charSpace="36864"/>
        </w:sectPr>
      </w:pPr>
    </w:p>
    <w:tbl>
      <w:tblPr>
        <w:tblW w:w="9625" w:type="dxa"/>
        <w:jc w:val="left"/>
        <w:tblInd w:w="55" w:type="dxa"/>
        <w:tblCellMar>
          <w:top w:w="55" w:type="dxa"/>
          <w:left w:w="55" w:type="dxa"/>
          <w:bottom w:w="55" w:type="dxa"/>
          <w:right w:w="55" w:type="dxa"/>
        </w:tblCellMar>
      </w:tblPr>
      <w:tblGrid>
        <w:gridCol w:w="2325"/>
        <w:gridCol w:w="2608"/>
        <w:gridCol w:w="969"/>
        <w:gridCol w:w="2598"/>
        <w:gridCol w:w="1125"/>
      </w:tblGrid>
      <w:tr>
        <w:trPr/>
        <w:tc>
          <w:tcPr>
            <w:tcW w:w="2325" w:type="dxa"/>
            <w:tcBorders>
              <w:top w:val="single" w:sz="4" w:space="0" w:color="000000"/>
              <w:left w:val="single" w:sz="4" w:space="0" w:color="000000"/>
              <w:bottom w:val="single" w:sz="4" w:space="0" w:color="000000"/>
            </w:tcBorders>
            <w:shd w:fill="auto" w:val="clear"/>
          </w:tcPr>
          <w:p>
            <w:pPr>
              <w:pStyle w:val="Normal"/>
              <w:spacing w:before="0" w:after="0"/>
              <w:jc w:val="center"/>
              <w:rPr/>
            </w:pPr>
            <w:r>
              <w:rPr>
                <w:rFonts w:eastAsia="Arial" w:cs="Arial" w:ascii="Arial" w:hAnsi="Arial"/>
                <w:b/>
                <w:bCs/>
                <w:color w:val="auto"/>
                <w:w w:val="98"/>
                <w:sz w:val="18"/>
                <w:szCs w:val="18"/>
              </w:rPr>
              <w:t>Вік-</w:t>
            </w:r>
          </w:p>
          <w:p>
            <w:pPr>
              <w:pStyle w:val="Normal"/>
              <w:spacing w:before="0" w:after="0"/>
              <w:jc w:val="center"/>
              <w:rPr/>
            </w:pPr>
            <w:r>
              <w:rPr>
                <w:rFonts w:eastAsia="Arial" w:cs="Arial" w:ascii="Arial" w:hAnsi="Arial"/>
                <w:b/>
                <w:bCs/>
                <w:color w:val="auto"/>
                <w:w w:val="98"/>
                <w:sz w:val="18"/>
                <w:szCs w:val="18"/>
              </w:rPr>
              <w:t>асоційована патологія</w:t>
            </w:r>
          </w:p>
        </w:tc>
        <w:tc>
          <w:tcPr>
            <w:tcW w:w="2608" w:type="dxa"/>
            <w:tcBorders>
              <w:top w:val="single" w:sz="4" w:space="0" w:color="000000"/>
              <w:left w:val="single" w:sz="4" w:space="0" w:color="000000"/>
              <w:bottom w:val="single" w:sz="4" w:space="0" w:color="000000"/>
            </w:tcBorders>
            <w:shd w:fill="auto" w:val="clear"/>
          </w:tcPr>
          <w:p>
            <w:pPr>
              <w:pStyle w:val="Normal"/>
              <w:spacing w:before="0" w:after="0"/>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eastAsia="Arial" w:cs="Arial" w:ascii="Arial" w:hAnsi="Arial"/>
                <w:b/>
                <w:bCs/>
                <w:i w:val="false"/>
                <w:iCs w:val="false"/>
                <w:strike w:val="false"/>
                <w:dstrike w:val="false"/>
                <w:outline w:val="false"/>
                <w:shadow w:val="false"/>
                <w:color w:val="auto"/>
                <w:sz w:val="18"/>
                <w:szCs w:val="18"/>
                <w:u w:val="none"/>
              </w:rPr>
              <w:t>DAMP</w:t>
            </w:r>
          </w:p>
        </w:tc>
        <w:tc>
          <w:tcPr>
            <w:tcW w:w="969" w:type="dxa"/>
            <w:tcBorders>
              <w:top w:val="single" w:sz="4" w:space="0" w:color="000000"/>
              <w:left w:val="single" w:sz="4" w:space="0" w:color="000000"/>
              <w:bottom w:val="single" w:sz="4" w:space="0" w:color="000000"/>
            </w:tcBorders>
            <w:shd w:fill="auto" w:val="clear"/>
          </w:tcPr>
          <w:p>
            <w:pPr>
              <w:pStyle w:val="Normal"/>
              <w:spacing w:before="0" w:after="0"/>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eastAsia="Arial" w:cs="Arial" w:ascii="Arial" w:hAnsi="Arial"/>
                <w:b/>
                <w:bCs/>
                <w:i w:val="false"/>
                <w:iCs w:val="false"/>
                <w:strike w:val="false"/>
                <w:dstrike w:val="false"/>
                <w:outline w:val="false"/>
                <w:shadow w:val="false"/>
                <w:color w:val="auto"/>
                <w:w w:val="99"/>
                <w:sz w:val="18"/>
                <w:szCs w:val="18"/>
                <w:u w:val="none"/>
              </w:rPr>
              <w:t>Рецептор</w:t>
            </w:r>
          </w:p>
        </w:tc>
        <w:tc>
          <w:tcPr>
            <w:tcW w:w="2598" w:type="dxa"/>
            <w:tcBorders>
              <w:top w:val="single" w:sz="4" w:space="0" w:color="000000"/>
              <w:left w:val="single" w:sz="4" w:space="0" w:color="000000"/>
              <w:bottom w:val="single" w:sz="4" w:space="0" w:color="000000"/>
            </w:tcBorders>
            <w:shd w:fill="auto" w:val="clear"/>
          </w:tcPr>
          <w:p>
            <w:pPr>
              <w:pStyle w:val="Normal"/>
              <w:spacing w:before="0" w:after="0"/>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eastAsia="Arial" w:cs="Arial" w:ascii="Arial" w:hAnsi="Arial"/>
                <w:b/>
                <w:bCs/>
                <w:i w:val="false"/>
                <w:iCs w:val="false"/>
                <w:strike w:val="false"/>
                <w:dstrike w:val="false"/>
                <w:outline w:val="false"/>
                <w:shadow w:val="false"/>
                <w:color w:val="auto"/>
                <w:w w:val="99"/>
                <w:sz w:val="18"/>
                <w:szCs w:val="18"/>
                <w:u w:val="none"/>
              </w:rPr>
              <w:t>Ефективні молекули</w:t>
            </w:r>
          </w:p>
        </w:tc>
        <w:tc>
          <w:tcPr>
            <w:tcW w:w="1125"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eastAsia="Arial" w:cs="Arial" w:ascii="Arial" w:hAnsi="Arial"/>
                <w:b/>
                <w:bCs/>
                <w:i w:val="false"/>
                <w:iCs w:val="false"/>
                <w:strike w:val="false"/>
                <w:dstrike w:val="false"/>
                <w:outline w:val="false"/>
                <w:shadow w:val="false"/>
                <w:color w:val="auto"/>
                <w:w w:val="98"/>
                <w:sz w:val="18"/>
                <w:szCs w:val="18"/>
                <w:u w:val="none"/>
              </w:rPr>
              <w:t>Посилання</w:t>
            </w:r>
          </w:p>
        </w:tc>
      </w:tr>
      <w:tr>
        <w:trPr/>
        <w:tc>
          <w:tcPr>
            <w:tcW w:w="2325" w:type="dxa"/>
            <w:tcBorders>
              <w:left w:val="single" w:sz="4" w:space="0" w:color="000000"/>
              <w:bottom w:val="single" w:sz="4" w:space="0" w:color="000000"/>
            </w:tcBorders>
            <w:shd w:fill="auto" w:val="clear"/>
          </w:tcPr>
          <w:p>
            <w:pPr>
              <w:pStyle w:val="Normal"/>
              <w:spacing w:before="0" w:after="0"/>
              <w:ind w:hanging="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eastAsia="Arial" w:cs="Arial" w:ascii="Arial" w:hAnsi="Arial"/>
                <w:b/>
                <w:bCs/>
                <w:i w:val="false"/>
                <w:iCs w:val="false"/>
                <w:strike w:val="false"/>
                <w:dstrike w:val="false"/>
                <w:outline w:val="false"/>
                <w:shadow w:val="false"/>
                <w:color w:val="auto"/>
                <w:sz w:val="18"/>
                <w:szCs w:val="18"/>
                <w:u w:val="none"/>
              </w:rPr>
              <w:t>Атеросклероз</w:t>
            </w:r>
          </w:p>
        </w:tc>
        <w:tc>
          <w:tcPr>
            <w:tcW w:w="2608" w:type="dxa"/>
            <w:tcBorders>
              <w:left w:val="single" w:sz="4" w:space="0" w:color="000000"/>
              <w:bottom w:val="single" w:sz="4" w:space="0" w:color="000000"/>
            </w:tcBorders>
            <w:shd w:fill="auto" w:val="clear"/>
          </w:tcPr>
          <w:p>
            <w:pPr>
              <w:pStyle w:val="Normal"/>
              <w:spacing w:before="0" w:after="0"/>
              <w:jc w:val="center"/>
              <w:rPr/>
            </w:pPr>
            <w:r>
              <w:rPr>
                <w:rFonts w:eastAsia="Arial" w:cs="Arial" w:ascii="Arial" w:hAnsi="Arial"/>
                <w:b/>
                <w:bCs/>
                <w:color w:val="auto"/>
                <w:w w:val="99"/>
                <w:sz w:val="18"/>
                <w:szCs w:val="18"/>
              </w:rPr>
              <w:t>Кристали</w:t>
            </w:r>
          </w:p>
          <w:p>
            <w:pPr>
              <w:pStyle w:val="Normal"/>
              <w:spacing w:before="0" w:after="0"/>
              <w:jc w:val="center"/>
              <w:rPr/>
            </w:pPr>
            <w:r>
              <w:rPr>
                <w:rFonts w:eastAsia="Arial" w:cs="Arial" w:ascii="Arial" w:hAnsi="Arial"/>
                <w:b/>
                <w:bCs/>
                <w:color w:val="auto"/>
                <w:w w:val="99"/>
                <w:sz w:val="18"/>
                <w:szCs w:val="18"/>
              </w:rPr>
              <w:t>холестерину</w:t>
            </w:r>
          </w:p>
          <w:p>
            <w:pPr>
              <w:pStyle w:val="Normal"/>
              <w:spacing w:before="0" w:after="0"/>
              <w:jc w:val="center"/>
              <w:rPr/>
            </w:pPr>
            <w:r>
              <w:rPr>
                <w:rFonts w:eastAsia="Arial" w:cs="Arial" w:ascii="Arial" w:hAnsi="Arial"/>
                <w:b/>
                <w:bCs/>
                <w:color w:val="auto"/>
                <w:sz w:val="18"/>
                <w:szCs w:val="18"/>
              </w:rPr>
              <w:t>Продукти</w:t>
            </w:r>
          </w:p>
          <w:p>
            <w:pPr>
              <w:pStyle w:val="Normal"/>
              <w:spacing w:before="0" w:after="0"/>
              <w:jc w:val="center"/>
              <w:rPr/>
            </w:pPr>
            <w:r>
              <w:rPr>
                <w:rFonts w:eastAsia="Arial" w:cs="Arial" w:ascii="Arial" w:hAnsi="Arial"/>
                <w:b/>
                <w:bCs/>
                <w:color w:val="auto"/>
                <w:sz w:val="18"/>
                <w:szCs w:val="18"/>
              </w:rPr>
              <w:t>окисного</w:t>
            </w:r>
          </w:p>
          <w:p>
            <w:pPr>
              <w:pStyle w:val="Normal"/>
              <w:spacing w:before="0" w:after="0"/>
              <w:jc w:val="center"/>
              <w:rPr/>
            </w:pPr>
            <w:r>
              <w:rPr>
                <w:rFonts w:eastAsia="Arial" w:cs="Arial" w:ascii="Arial" w:hAnsi="Arial"/>
                <w:b/>
                <w:bCs/>
                <w:color w:val="auto"/>
                <w:sz w:val="18"/>
                <w:szCs w:val="18"/>
              </w:rPr>
              <w:t>стресу</w:t>
            </w:r>
          </w:p>
          <w:p>
            <w:pPr>
              <w:pStyle w:val="Normal"/>
              <w:spacing w:before="0" w:after="0"/>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eastAsia="Arial" w:cs="Arial" w:ascii="Arial" w:hAnsi="Arial"/>
                <w:b w:val="false"/>
                <w:bCs w:val="false"/>
                <w:i w:val="false"/>
                <w:iCs w:val="false"/>
                <w:strike w:val="false"/>
                <w:dstrike w:val="false"/>
                <w:outline w:val="false"/>
                <w:shadow w:val="false"/>
                <w:color w:val="auto"/>
                <w:sz w:val="18"/>
                <w:szCs w:val="18"/>
                <w:u w:val="none"/>
              </w:rPr>
              <w:t>IL-1α</w:t>
            </w:r>
          </w:p>
        </w:tc>
        <w:tc>
          <w:tcPr>
            <w:tcW w:w="969" w:type="dxa"/>
            <w:tcBorders>
              <w:left w:val="single" w:sz="4" w:space="0" w:color="000000"/>
              <w:bottom w:val="single" w:sz="4" w:space="0" w:color="000000"/>
            </w:tcBorders>
            <w:shd w:fill="auto" w:val="clear"/>
          </w:tcPr>
          <w:p>
            <w:pPr>
              <w:pStyle w:val="Normal"/>
              <w:spacing w:before="0" w:after="0"/>
              <w:jc w:val="center"/>
              <w:rPr/>
            </w:pPr>
            <w:r>
              <w:rPr>
                <w:rFonts w:eastAsia="Arial" w:cs="Arial" w:ascii="Arial" w:hAnsi="Arial"/>
                <w:color w:val="auto"/>
                <w:w w:val="99"/>
                <w:sz w:val="18"/>
                <w:szCs w:val="18"/>
              </w:rPr>
              <w:t>NLRP3</w:t>
            </w:r>
          </w:p>
          <w:p>
            <w:pPr>
              <w:pStyle w:val="Normal"/>
              <w:spacing w:before="0" w:after="0"/>
              <w:jc w:val="center"/>
              <w:rPr/>
            </w:pPr>
            <w:r>
              <w:rPr>
                <w:rFonts w:eastAsia="Arial" w:cs="Arial" w:ascii="Arial" w:hAnsi="Arial"/>
                <w:color w:val="auto"/>
                <w:w w:val="99"/>
                <w:sz w:val="18"/>
                <w:szCs w:val="18"/>
              </w:rPr>
              <w:t>TLR</w:t>
            </w:r>
          </w:p>
          <w:p>
            <w:pPr>
              <w:pStyle w:val="Normal"/>
              <w:spacing w:before="0" w:after="0"/>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eastAsia="Arial" w:cs="Arial" w:ascii="Arial" w:hAnsi="Arial"/>
                <w:b w:val="false"/>
                <w:bCs w:val="false"/>
                <w:i w:val="false"/>
                <w:iCs w:val="false"/>
                <w:strike w:val="false"/>
                <w:dstrike w:val="false"/>
                <w:outline w:val="false"/>
                <w:shadow w:val="false"/>
                <w:color w:val="auto"/>
                <w:w w:val="99"/>
                <w:sz w:val="18"/>
                <w:szCs w:val="18"/>
                <w:u w:val="none"/>
              </w:rPr>
              <w:t>IL-1-R1</w:t>
            </w:r>
          </w:p>
        </w:tc>
        <w:tc>
          <w:tcPr>
            <w:tcW w:w="2598" w:type="dxa"/>
            <w:tcBorders>
              <w:left w:val="single" w:sz="4" w:space="0" w:color="000000"/>
              <w:bottom w:val="single" w:sz="4" w:space="0" w:color="000000"/>
            </w:tcBorders>
            <w:shd w:fill="auto" w:val="clear"/>
          </w:tcPr>
          <w:p>
            <w:pPr>
              <w:pStyle w:val="Normal"/>
              <w:spacing w:before="0" w:after="0"/>
              <w:jc w:val="center"/>
              <w:rPr/>
            </w:pPr>
            <w:r>
              <w:rPr>
                <w:rFonts w:eastAsia="Arial" w:cs="Arial" w:ascii="Arial" w:hAnsi="Arial"/>
                <w:color w:val="auto"/>
                <w:sz w:val="18"/>
                <w:szCs w:val="18"/>
              </w:rPr>
              <w:t>IL-1β</w:t>
            </w:r>
          </w:p>
          <w:p>
            <w:pPr>
              <w:pStyle w:val="Normal"/>
              <w:spacing w:before="0" w:after="0"/>
              <w:jc w:val="center"/>
              <w:rPr/>
            </w:pPr>
            <w:r>
              <w:rPr>
                <w:rFonts w:eastAsia="Arial" w:cs="Arial" w:ascii="Arial" w:hAnsi="Arial"/>
                <w:b/>
                <w:bCs/>
                <w:color w:val="auto"/>
                <w:w w:val="98"/>
                <w:sz w:val="18"/>
                <w:szCs w:val="18"/>
              </w:rPr>
              <w:t>Прозапальні</w:t>
            </w:r>
          </w:p>
          <w:p>
            <w:pPr>
              <w:pStyle w:val="Normal"/>
              <w:spacing w:before="0" w:after="0"/>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eastAsia="Arial" w:cs="Arial" w:ascii="Arial" w:hAnsi="Arial"/>
                <w:b/>
                <w:bCs/>
                <w:i w:val="false"/>
                <w:iCs w:val="false"/>
                <w:strike w:val="false"/>
                <w:dstrike w:val="false"/>
                <w:outline w:val="false"/>
                <w:shadow w:val="false"/>
                <w:color w:val="auto"/>
                <w:w w:val="98"/>
                <w:sz w:val="18"/>
                <w:szCs w:val="18"/>
                <w:u w:val="none"/>
              </w:rPr>
              <w:t>цитокіни та хемокіни</w:t>
            </w:r>
          </w:p>
          <w:p>
            <w:pPr>
              <w:pStyle w:val="Normal"/>
              <w:spacing w:before="0" w:after="0"/>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eastAsia="Arial" w:cs="Arial" w:ascii="Arial" w:hAnsi="Arial"/>
                <w:b/>
                <w:bCs/>
                <w:i w:val="false"/>
                <w:iCs w:val="false"/>
                <w:strike w:val="false"/>
                <w:dstrike w:val="false"/>
                <w:outline w:val="false"/>
                <w:shadow w:val="false"/>
                <w:color w:val="auto"/>
                <w:w w:val="96"/>
                <w:sz w:val="18"/>
                <w:szCs w:val="18"/>
                <w:u w:val="none"/>
              </w:rPr>
              <w:t>IL-17, IFNγ</w:t>
            </w:r>
          </w:p>
        </w:tc>
        <w:tc>
          <w:tcPr>
            <w:tcW w:w="1125" w:type="dxa"/>
            <w:tcBorders>
              <w:left w:val="single" w:sz="4" w:space="0" w:color="000000"/>
              <w:bottom w:val="single" w:sz="4" w:space="0" w:color="000000"/>
              <w:right w:val="single" w:sz="4" w:space="0" w:color="000000"/>
            </w:tcBorders>
            <w:shd w:fill="auto" w:val="clear"/>
          </w:tcPr>
          <w:p>
            <w:pPr>
              <w:pStyle w:val="Normal"/>
              <w:spacing w:before="0" w:after="0"/>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eastAsia="Arial" w:cs="Arial" w:ascii="Arial" w:hAnsi="Arial"/>
                <w:b w:val="false"/>
                <w:bCs w:val="false"/>
                <w:i w:val="false"/>
                <w:iCs w:val="false"/>
                <w:strike w:val="false"/>
                <w:dstrike w:val="false"/>
                <w:outline w:val="false"/>
                <w:shadow w:val="false"/>
                <w:color w:val="auto"/>
                <w:sz w:val="18"/>
                <w:szCs w:val="18"/>
                <w:u w:val="none"/>
              </w:rPr>
              <w:t>[20, 47, 66]</w:t>
            </w:r>
          </w:p>
        </w:tc>
      </w:tr>
      <w:tr>
        <w:trPr/>
        <w:tc>
          <w:tcPr>
            <w:tcW w:w="2325" w:type="dxa"/>
            <w:tcBorders>
              <w:left w:val="single" w:sz="4" w:space="0" w:color="000000"/>
              <w:bottom w:val="single" w:sz="4" w:space="0" w:color="000000"/>
            </w:tcBorders>
            <w:shd w:fill="auto" w:val="clear"/>
          </w:tcPr>
          <w:p>
            <w:pPr>
              <w:pStyle w:val="Normal"/>
              <w:spacing w:before="0" w:after="0"/>
              <w:ind w:left="80" w:hanging="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eastAsia="Arial" w:cs="Arial" w:ascii="Arial" w:hAnsi="Arial"/>
                <w:b/>
                <w:bCs/>
                <w:i w:val="false"/>
                <w:iCs w:val="false"/>
                <w:strike w:val="false"/>
                <w:dstrike w:val="false"/>
                <w:outline w:val="false"/>
                <w:shadow w:val="false"/>
                <w:color w:val="auto"/>
                <w:sz w:val="18"/>
                <w:szCs w:val="18"/>
                <w:u w:val="none"/>
              </w:rPr>
              <w:t>Хвороба Альцгеймера</w:t>
            </w:r>
          </w:p>
        </w:tc>
        <w:tc>
          <w:tcPr>
            <w:tcW w:w="2608" w:type="dxa"/>
            <w:tcBorders>
              <w:left w:val="single" w:sz="4" w:space="0" w:color="000000"/>
              <w:bottom w:val="single" w:sz="4" w:space="0" w:color="000000"/>
            </w:tcBorders>
            <w:shd w:fill="auto" w:val="clear"/>
          </w:tcPr>
          <w:p>
            <w:pPr>
              <w:pStyle w:val="Normal"/>
              <w:spacing w:before="0" w:after="0"/>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eastAsia="Arial" w:cs="Arial" w:ascii="Arial" w:hAnsi="Arial"/>
                <w:b/>
                <w:bCs/>
                <w:i w:val="false"/>
                <w:iCs w:val="false"/>
                <w:strike w:val="false"/>
                <w:dstrike w:val="false"/>
                <w:outline w:val="false"/>
                <w:shadow w:val="false"/>
                <w:color w:val="auto"/>
                <w:w w:val="99"/>
                <w:sz w:val="18"/>
                <w:szCs w:val="18"/>
                <w:u w:val="none"/>
              </w:rPr>
              <w:t>Амілоїд-β</w:t>
            </w:r>
          </w:p>
        </w:tc>
        <w:tc>
          <w:tcPr>
            <w:tcW w:w="969" w:type="dxa"/>
            <w:tcBorders>
              <w:left w:val="single" w:sz="4" w:space="0" w:color="000000"/>
              <w:bottom w:val="single" w:sz="4" w:space="0" w:color="000000"/>
            </w:tcBorders>
            <w:shd w:fill="auto" w:val="clear"/>
          </w:tcPr>
          <w:p>
            <w:pPr>
              <w:pStyle w:val="Normal"/>
              <w:spacing w:before="0" w:after="0"/>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eastAsia="Arial" w:cs="Arial" w:ascii="Arial" w:hAnsi="Arial"/>
                <w:b w:val="false"/>
                <w:bCs w:val="false"/>
                <w:i w:val="false"/>
                <w:iCs w:val="false"/>
                <w:strike w:val="false"/>
                <w:dstrike w:val="false"/>
                <w:outline w:val="false"/>
                <w:shadow w:val="false"/>
                <w:color w:val="auto"/>
                <w:w w:val="99"/>
                <w:sz w:val="18"/>
                <w:szCs w:val="18"/>
                <w:u w:val="none"/>
              </w:rPr>
              <w:t>NLRP3</w:t>
            </w:r>
          </w:p>
        </w:tc>
        <w:tc>
          <w:tcPr>
            <w:tcW w:w="2598" w:type="dxa"/>
            <w:tcBorders>
              <w:left w:val="single" w:sz="4" w:space="0" w:color="000000"/>
              <w:bottom w:val="single" w:sz="4" w:space="0" w:color="000000"/>
            </w:tcBorders>
            <w:shd w:fill="auto" w:val="clear"/>
          </w:tcPr>
          <w:p>
            <w:pPr>
              <w:pStyle w:val="Normal"/>
              <w:spacing w:before="0" w:after="0"/>
              <w:jc w:val="center"/>
              <w:rPr/>
            </w:pPr>
            <w:r>
              <w:rPr>
                <w:rFonts w:eastAsia="Arial" w:cs="Arial" w:ascii="Arial" w:hAnsi="Arial"/>
                <w:b/>
                <w:bCs/>
                <w:color w:val="auto"/>
                <w:w w:val="98"/>
                <w:sz w:val="18"/>
                <w:szCs w:val="18"/>
              </w:rPr>
              <w:t>Прозапальні</w:t>
            </w:r>
          </w:p>
          <w:p>
            <w:pPr>
              <w:pStyle w:val="Normal"/>
              <w:spacing w:before="0" w:after="0"/>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eastAsia="Arial" w:cs="Arial" w:ascii="Arial" w:hAnsi="Arial"/>
                <w:b/>
                <w:bCs/>
                <w:i w:val="false"/>
                <w:iCs w:val="false"/>
                <w:strike w:val="false"/>
                <w:dstrike w:val="false"/>
                <w:outline w:val="false"/>
                <w:shadow w:val="false"/>
                <w:color w:val="auto"/>
                <w:w w:val="98"/>
                <w:sz w:val="18"/>
                <w:szCs w:val="18"/>
                <w:u w:val="none"/>
              </w:rPr>
              <w:t>цитокіни та хемокіни</w:t>
            </w:r>
          </w:p>
        </w:tc>
        <w:tc>
          <w:tcPr>
            <w:tcW w:w="1125" w:type="dxa"/>
            <w:tcBorders>
              <w:left w:val="single" w:sz="4" w:space="0" w:color="000000"/>
              <w:bottom w:val="single" w:sz="4" w:space="0" w:color="000000"/>
              <w:right w:val="single" w:sz="4" w:space="0" w:color="000000"/>
            </w:tcBorders>
            <w:shd w:fill="auto" w:val="clear"/>
          </w:tcPr>
          <w:p>
            <w:pPr>
              <w:pStyle w:val="Normal"/>
              <w:spacing w:before="0" w:after="0"/>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eastAsia="Arial" w:cs="Arial" w:ascii="Arial" w:hAnsi="Arial"/>
                <w:b w:val="false"/>
                <w:bCs w:val="false"/>
                <w:i w:val="false"/>
                <w:iCs w:val="false"/>
                <w:strike w:val="false"/>
                <w:dstrike w:val="false"/>
                <w:outline w:val="false"/>
                <w:shadow w:val="false"/>
                <w:color w:val="auto"/>
                <w:w w:val="99"/>
                <w:sz w:val="18"/>
                <w:szCs w:val="18"/>
                <w:u w:val="none"/>
              </w:rPr>
              <w:t>[35]</w:t>
            </w:r>
          </w:p>
        </w:tc>
      </w:tr>
      <w:tr>
        <w:trPr/>
        <w:tc>
          <w:tcPr>
            <w:tcW w:w="2325" w:type="dxa"/>
            <w:tcBorders>
              <w:left w:val="single" w:sz="4" w:space="0" w:color="000000"/>
              <w:bottom w:val="single" w:sz="4" w:space="0" w:color="000000"/>
            </w:tcBorders>
            <w:shd w:fill="auto" w:val="clear"/>
          </w:tcPr>
          <w:p>
            <w:pPr>
              <w:pStyle w:val="Normal"/>
              <w:spacing w:before="0" w:after="0"/>
              <w:ind w:left="80" w:hanging="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eastAsia="Arial" w:cs="Arial" w:ascii="Arial" w:hAnsi="Arial"/>
                <w:b/>
                <w:bCs/>
                <w:i w:val="false"/>
                <w:iCs w:val="false"/>
                <w:strike w:val="false"/>
                <w:dstrike w:val="false"/>
                <w:outline w:val="false"/>
                <w:shadow w:val="false"/>
                <w:color w:val="auto"/>
                <w:sz w:val="18"/>
                <w:szCs w:val="18"/>
                <w:u w:val="none"/>
              </w:rPr>
              <w:t>Хвороба Паркінсона</w:t>
            </w:r>
          </w:p>
        </w:tc>
        <w:tc>
          <w:tcPr>
            <w:tcW w:w="2608" w:type="dxa"/>
            <w:tcBorders>
              <w:left w:val="single" w:sz="4" w:space="0" w:color="000000"/>
              <w:bottom w:val="single" w:sz="4" w:space="0" w:color="000000"/>
            </w:tcBorders>
            <w:shd w:fill="auto" w:val="clear"/>
          </w:tcPr>
          <w:p>
            <w:pPr>
              <w:pStyle w:val="Normal"/>
              <w:spacing w:before="0" w:after="0"/>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eastAsia="Arial" w:cs="Arial" w:ascii="Arial" w:hAnsi="Arial"/>
                <w:b w:val="false"/>
                <w:bCs w:val="false"/>
                <w:i w:val="false"/>
                <w:iCs w:val="false"/>
                <w:strike w:val="false"/>
                <w:dstrike w:val="false"/>
                <w:outline w:val="false"/>
                <w:shadow w:val="false"/>
                <w:color w:val="auto"/>
                <w:sz w:val="18"/>
                <w:szCs w:val="18"/>
                <w:u w:val="none"/>
              </w:rPr>
              <w:t>α-синуклеїн</w:t>
            </w:r>
          </w:p>
        </w:tc>
        <w:tc>
          <w:tcPr>
            <w:tcW w:w="969" w:type="dxa"/>
            <w:tcBorders>
              <w:left w:val="single" w:sz="4" w:space="0" w:color="000000"/>
              <w:bottom w:val="single" w:sz="4" w:space="0" w:color="000000"/>
            </w:tcBorders>
            <w:shd w:fill="auto" w:val="clear"/>
          </w:tcPr>
          <w:p>
            <w:pPr>
              <w:pStyle w:val="Normal"/>
              <w:spacing w:before="0" w:after="0"/>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eastAsia="Arial" w:cs="Arial" w:ascii="Arial" w:hAnsi="Arial"/>
                <w:b w:val="false"/>
                <w:bCs w:val="false"/>
                <w:i w:val="false"/>
                <w:iCs w:val="false"/>
                <w:strike w:val="false"/>
                <w:dstrike w:val="false"/>
                <w:outline w:val="false"/>
                <w:shadow w:val="false"/>
                <w:color w:val="auto"/>
                <w:w w:val="99"/>
                <w:sz w:val="18"/>
                <w:szCs w:val="18"/>
                <w:u w:val="none"/>
              </w:rPr>
              <w:t>PRR</w:t>
            </w:r>
          </w:p>
        </w:tc>
        <w:tc>
          <w:tcPr>
            <w:tcW w:w="2598" w:type="dxa"/>
            <w:tcBorders>
              <w:left w:val="single" w:sz="4" w:space="0" w:color="000000"/>
              <w:bottom w:val="single" w:sz="4" w:space="0" w:color="000000"/>
            </w:tcBorders>
            <w:shd w:fill="auto" w:val="clear"/>
          </w:tcPr>
          <w:p>
            <w:pPr>
              <w:pStyle w:val="Normal"/>
              <w:spacing w:before="0" w:after="0"/>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eastAsia="Arial" w:cs="Arial" w:ascii="Arial" w:hAnsi="Arial"/>
                <w:b/>
                <w:bCs/>
                <w:i w:val="false"/>
                <w:iCs w:val="false"/>
                <w:strike w:val="false"/>
                <w:dstrike w:val="false"/>
                <w:outline w:val="false"/>
                <w:shadow w:val="false"/>
                <w:color w:val="auto"/>
                <w:w w:val="99"/>
                <w:sz w:val="18"/>
                <w:szCs w:val="18"/>
                <w:u w:val="none"/>
              </w:rPr>
              <w:t>Цитокіни, оксид азоту</w:t>
            </w:r>
          </w:p>
        </w:tc>
        <w:tc>
          <w:tcPr>
            <w:tcW w:w="1125" w:type="dxa"/>
            <w:tcBorders>
              <w:left w:val="single" w:sz="4" w:space="0" w:color="000000"/>
              <w:bottom w:val="single" w:sz="4" w:space="0" w:color="000000"/>
              <w:right w:val="single" w:sz="4" w:space="0" w:color="000000"/>
            </w:tcBorders>
            <w:shd w:fill="auto" w:val="clear"/>
          </w:tcPr>
          <w:p>
            <w:pPr>
              <w:pStyle w:val="Normal"/>
              <w:spacing w:before="0" w:after="0"/>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eastAsia="Arial" w:cs="Arial" w:ascii="Arial" w:hAnsi="Arial"/>
                <w:b w:val="false"/>
                <w:bCs w:val="false"/>
                <w:i w:val="false"/>
                <w:iCs w:val="false"/>
                <w:strike w:val="false"/>
                <w:dstrike w:val="false"/>
                <w:outline w:val="false"/>
                <w:shadow w:val="false"/>
                <w:color w:val="auto"/>
                <w:sz w:val="18"/>
                <w:szCs w:val="18"/>
                <w:u w:val="none"/>
              </w:rPr>
              <w:t>[8, 16, 79, 80]</w:t>
            </w:r>
          </w:p>
        </w:tc>
      </w:tr>
      <w:tr>
        <w:trPr/>
        <w:tc>
          <w:tcPr>
            <w:tcW w:w="2325" w:type="dxa"/>
            <w:tcBorders>
              <w:left w:val="single" w:sz="4" w:space="0" w:color="000000"/>
              <w:bottom w:val="single" w:sz="4" w:space="0" w:color="000000"/>
            </w:tcBorders>
            <w:shd w:fill="auto" w:val="clear"/>
          </w:tcPr>
          <w:p>
            <w:pPr>
              <w:pStyle w:val="Normal"/>
              <w:spacing w:before="0" w:after="0"/>
              <w:ind w:left="80" w:hanging="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eastAsia="Arial" w:cs="Arial" w:ascii="Arial" w:hAnsi="Arial"/>
                <w:b/>
                <w:bCs/>
                <w:i w:val="false"/>
                <w:iCs w:val="false"/>
                <w:strike w:val="false"/>
                <w:dstrike w:val="false"/>
                <w:outline w:val="false"/>
                <w:shadow w:val="false"/>
                <w:color w:val="auto"/>
                <w:sz w:val="18"/>
                <w:szCs w:val="18"/>
                <w:u w:val="none"/>
              </w:rPr>
              <w:t>Цукровий діабет 2 типу</w:t>
            </w:r>
          </w:p>
        </w:tc>
        <w:tc>
          <w:tcPr>
            <w:tcW w:w="2608" w:type="dxa"/>
            <w:tcBorders>
              <w:left w:val="single" w:sz="4" w:space="0" w:color="000000"/>
              <w:bottom w:val="single" w:sz="4" w:space="0" w:color="000000"/>
            </w:tcBorders>
            <w:shd w:fill="auto" w:val="clear"/>
          </w:tcPr>
          <w:p>
            <w:pPr>
              <w:pStyle w:val="Normal"/>
              <w:spacing w:before="0" w:after="0"/>
              <w:jc w:val="center"/>
              <w:rPr/>
            </w:pPr>
            <w:r>
              <w:rPr>
                <w:rFonts w:eastAsia="Arial" w:cs="Arial" w:ascii="Arial" w:hAnsi="Arial"/>
                <w:b/>
                <w:bCs/>
                <w:color w:val="auto"/>
                <w:w w:val="97"/>
                <w:sz w:val="18"/>
                <w:szCs w:val="18"/>
              </w:rPr>
              <w:t>Глюкоза</w:t>
            </w:r>
          </w:p>
          <w:p>
            <w:pPr>
              <w:pStyle w:val="Normal"/>
              <w:spacing w:before="0" w:after="0"/>
              <w:jc w:val="center"/>
              <w:rPr/>
            </w:pPr>
            <w:r>
              <w:rPr>
                <w:rFonts w:eastAsia="Arial" w:cs="Arial" w:ascii="Arial" w:hAnsi="Arial"/>
                <w:b/>
                <w:bCs/>
                <w:color w:val="auto"/>
                <w:w w:val="98"/>
                <w:sz w:val="18"/>
                <w:szCs w:val="18"/>
              </w:rPr>
              <w:t>Острівцевий</w:t>
            </w:r>
          </w:p>
          <w:p>
            <w:pPr>
              <w:pStyle w:val="Normal"/>
              <w:spacing w:before="0" w:after="0"/>
              <w:jc w:val="center"/>
              <w:rPr/>
            </w:pPr>
            <w:r>
              <w:rPr>
                <w:rFonts w:eastAsia="Arial" w:cs="Arial" w:ascii="Arial" w:hAnsi="Arial"/>
                <w:b/>
                <w:bCs/>
                <w:color w:val="auto"/>
                <w:sz w:val="18"/>
                <w:szCs w:val="18"/>
              </w:rPr>
              <w:t>амілоїдний</w:t>
            </w:r>
          </w:p>
          <w:p>
            <w:pPr>
              <w:pStyle w:val="Normal"/>
              <w:spacing w:before="0" w:after="0"/>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eastAsia="Arial" w:cs="Arial" w:ascii="Arial" w:hAnsi="Arial"/>
                <w:b/>
                <w:bCs/>
                <w:i w:val="false"/>
                <w:iCs w:val="false"/>
                <w:strike w:val="false"/>
                <w:dstrike w:val="false"/>
                <w:outline w:val="false"/>
                <w:shadow w:val="false"/>
                <w:color w:val="auto"/>
                <w:w w:val="98"/>
                <w:sz w:val="18"/>
                <w:szCs w:val="18"/>
                <w:u w:val="none"/>
              </w:rPr>
              <w:t>поліпептид (амілін)</w:t>
            </w:r>
          </w:p>
          <w:p>
            <w:pPr>
              <w:pStyle w:val="Normal"/>
              <w:spacing w:before="0" w:after="0"/>
              <w:jc w:val="center"/>
              <w:rPr/>
            </w:pPr>
            <w:r>
              <w:rPr>
                <w:rFonts w:eastAsia="Arial" w:cs="Arial" w:ascii="Arial" w:hAnsi="Arial"/>
                <w:b/>
                <w:bCs/>
                <w:color w:val="auto"/>
                <w:sz w:val="18"/>
                <w:szCs w:val="18"/>
              </w:rPr>
              <w:t>Насичені</w:t>
            </w:r>
          </w:p>
          <w:p>
            <w:pPr>
              <w:pStyle w:val="Normal"/>
              <w:spacing w:before="0" w:after="0"/>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eastAsia="Arial" w:cs="Arial" w:ascii="Arial" w:hAnsi="Arial"/>
                <w:b/>
                <w:bCs/>
                <w:i w:val="false"/>
                <w:iCs w:val="false"/>
                <w:strike w:val="false"/>
                <w:dstrike w:val="false"/>
                <w:outline w:val="false"/>
                <w:shadow w:val="false"/>
                <w:color w:val="auto"/>
                <w:w w:val="99"/>
                <w:sz w:val="18"/>
                <w:szCs w:val="18"/>
                <w:u w:val="none"/>
              </w:rPr>
              <w:t>жирні кислоти</w:t>
            </w:r>
          </w:p>
        </w:tc>
        <w:tc>
          <w:tcPr>
            <w:tcW w:w="969" w:type="dxa"/>
            <w:tcBorders>
              <w:left w:val="single" w:sz="4" w:space="0" w:color="000000"/>
              <w:bottom w:val="single" w:sz="4" w:space="0" w:color="000000"/>
            </w:tcBorders>
            <w:shd w:fill="auto" w:val="clear"/>
          </w:tcPr>
          <w:p>
            <w:pPr>
              <w:pStyle w:val="Normal"/>
              <w:spacing w:before="0" w:after="0"/>
              <w:jc w:val="center"/>
              <w:rPr/>
            </w:pPr>
            <w:r>
              <w:rPr>
                <w:rFonts w:eastAsia="Arial" w:cs="Arial" w:ascii="Arial" w:hAnsi="Arial"/>
                <w:color w:val="auto"/>
                <w:w w:val="99"/>
                <w:sz w:val="18"/>
                <w:szCs w:val="18"/>
              </w:rPr>
              <w:t>TLR</w:t>
            </w:r>
          </w:p>
          <w:p>
            <w:pPr>
              <w:pStyle w:val="Normal"/>
              <w:spacing w:before="0" w:after="0"/>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eastAsia="Arial" w:cs="Arial" w:ascii="Arial" w:hAnsi="Arial"/>
                <w:b w:val="false"/>
                <w:bCs w:val="false"/>
                <w:i w:val="false"/>
                <w:iCs w:val="false"/>
                <w:strike w:val="false"/>
                <w:dstrike w:val="false"/>
                <w:outline w:val="false"/>
                <w:shadow w:val="false"/>
                <w:color w:val="auto"/>
                <w:w w:val="99"/>
                <w:sz w:val="18"/>
                <w:szCs w:val="18"/>
                <w:u w:val="none"/>
              </w:rPr>
              <w:t>NLRP3</w:t>
            </w:r>
          </w:p>
        </w:tc>
        <w:tc>
          <w:tcPr>
            <w:tcW w:w="2598" w:type="dxa"/>
            <w:tcBorders>
              <w:left w:val="single" w:sz="4" w:space="0" w:color="000000"/>
              <w:bottom w:val="single" w:sz="4" w:space="0" w:color="000000"/>
            </w:tcBorders>
            <w:shd w:fill="auto" w:val="clear"/>
          </w:tcPr>
          <w:p>
            <w:pPr>
              <w:pStyle w:val="Normal"/>
              <w:spacing w:before="0" w:after="0"/>
              <w:jc w:val="center"/>
              <w:rPr/>
            </w:pPr>
            <w:r>
              <w:rPr>
                <w:rFonts w:eastAsia="Arial" w:cs="Arial" w:ascii="Arial" w:hAnsi="Arial"/>
                <w:b/>
                <w:bCs/>
                <w:color w:val="auto"/>
                <w:w w:val="98"/>
                <w:sz w:val="18"/>
                <w:szCs w:val="18"/>
              </w:rPr>
              <w:t>Прозапальні</w:t>
            </w:r>
          </w:p>
          <w:p>
            <w:pPr>
              <w:pStyle w:val="Normal"/>
              <w:spacing w:before="0" w:after="0"/>
              <w:jc w:val="center"/>
              <w:rPr/>
            </w:pPr>
            <w:r>
              <w:rPr>
                <w:rFonts w:eastAsia="Arial" w:cs="Arial" w:ascii="Arial" w:hAnsi="Arial"/>
                <w:b/>
                <w:bCs/>
                <w:color w:val="auto"/>
                <w:w w:val="99"/>
                <w:sz w:val="18"/>
                <w:szCs w:val="18"/>
              </w:rPr>
              <w:t>цитокіни</w:t>
            </w:r>
          </w:p>
          <w:p>
            <w:pPr>
              <w:pStyle w:val="Normal"/>
              <w:spacing w:before="0" w:after="0"/>
              <w:jc w:val="center"/>
              <w:rPr/>
            </w:pPr>
            <w:r>
              <w:rPr>
                <w:rFonts w:eastAsia="Arial" w:cs="Arial" w:ascii="Arial" w:hAnsi="Arial"/>
                <w:b/>
                <w:bCs/>
                <w:color w:val="auto"/>
                <w:w w:val="99"/>
                <w:sz w:val="18"/>
                <w:szCs w:val="18"/>
              </w:rPr>
              <w:t>IL-1β</w:t>
            </w:r>
          </w:p>
        </w:tc>
        <w:tc>
          <w:tcPr>
            <w:tcW w:w="1125" w:type="dxa"/>
            <w:tcBorders>
              <w:left w:val="single" w:sz="4" w:space="0" w:color="000000"/>
              <w:bottom w:val="single" w:sz="4" w:space="0" w:color="000000"/>
              <w:right w:val="single" w:sz="4" w:space="0" w:color="000000"/>
            </w:tcBorders>
            <w:shd w:fill="auto" w:val="clear"/>
          </w:tcPr>
          <w:p>
            <w:pPr>
              <w:pStyle w:val="Normal"/>
              <w:spacing w:before="0" w:after="0"/>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eastAsia="Arial" w:cs="Arial" w:ascii="Arial" w:hAnsi="Arial"/>
                <w:b w:val="false"/>
                <w:bCs w:val="false"/>
                <w:i w:val="false"/>
                <w:iCs w:val="false"/>
                <w:strike w:val="false"/>
                <w:dstrike w:val="false"/>
                <w:outline w:val="false"/>
                <w:shadow w:val="false"/>
                <w:color w:val="auto"/>
                <w:sz w:val="18"/>
                <w:szCs w:val="18"/>
                <w:u w:val="none"/>
              </w:rPr>
              <w:t>[74, 78, 87]</w:t>
            </w:r>
          </w:p>
        </w:tc>
      </w:tr>
    </w:tbl>
    <w:p>
      <w:pPr>
        <w:pStyle w:val="Normal"/>
        <w:spacing w:lineRule="auto" w:line="324" w:before="0" w:after="0"/>
        <w:ind w:right="1780" w:hanging="0"/>
        <w:jc w:val="both"/>
        <w:rPr>
          <w:rFonts w:ascii="Arial Narrow" w:hAnsi="Arial Narrow" w:eastAsia="Arial Narrow" w:cs="Arial Narrow"/>
          <w:color w:val="auto"/>
          <w:sz w:val="32"/>
          <w:szCs w:val="32"/>
        </w:rPr>
      </w:pPr>
      <w:r>
        <w:rPr>
          <w:rFonts w:eastAsia="Arial Narrow" w:cs="Arial Narrow" w:ascii="Arial Narrow" w:hAnsi="Arial Narrow"/>
          <w:color w:val="auto"/>
          <w:sz w:val="32"/>
          <w:szCs w:val="32"/>
        </w:rPr>
      </w:r>
    </w:p>
    <w:p>
      <w:pPr>
        <w:pStyle w:val="Normal"/>
        <w:spacing w:before="0" w:after="0"/>
        <w:ind w:left="6" w:hanging="0"/>
        <w:rPr/>
      </w:pPr>
      <w:r>
        <w:rPr>
          <w:rFonts w:eastAsia="Arial Narrow" w:cs="Arial Narrow" w:ascii="Arial Narrow" w:hAnsi="Arial Narrow"/>
          <w:color w:val="auto"/>
          <w:sz w:val="32"/>
          <w:szCs w:val="32"/>
        </w:rPr>
        <w:t>Список літератури</w:t>
      </w:r>
    </w:p>
    <w:p>
      <w:pPr>
        <w:pStyle w:val="Normal"/>
        <w:spacing w:lineRule="exact" w:line="76" w:before="0" w:after="0"/>
        <w:rPr>
          <w:color w:val="auto"/>
          <w:sz w:val="20"/>
          <w:szCs w:val="20"/>
        </w:rPr>
      </w:pPr>
      <w:r>
        <w:rPr>
          <w:color w:val="auto"/>
          <w:sz w:val="20"/>
          <w:szCs w:val="20"/>
        </w:rPr>
      </w:r>
    </w:p>
    <w:p>
      <w:pPr>
        <w:pStyle w:val="Normal"/>
        <w:numPr>
          <w:ilvl w:val="1"/>
          <w:numId w:val="1"/>
        </w:numPr>
        <w:tabs>
          <w:tab w:val="clear" w:pos="720"/>
          <w:tab w:val="left" w:pos="687" w:leader="none"/>
        </w:tabs>
        <w:spacing w:lineRule="auto" w:line="240" w:before="0" w:after="0"/>
        <w:jc w:val="both"/>
        <w:rPr/>
      </w:pPr>
      <w:r>
        <w:rPr>
          <w:rFonts w:eastAsia="Times New Roman" w:cs="Times New Roman" w:ascii="Times New Roman" w:hAnsi="Times New Roman"/>
          <w:color w:val="auto"/>
          <w:sz w:val="20"/>
          <w:szCs w:val="20"/>
        </w:rPr>
        <w:t>Agrawal A., Agrawal S., Cao JN, Su H., Osann K., Gupta S. Узгоджено зовнішнє імунне функціонування дендричних клітин в природних людях: як роль phosphoinositide 3-kinase-signaling pathway. J. Immunol., 2007, Vol. 178, no. 11, pp. 6912-6922.</w:t>
      </w:r>
    </w:p>
    <w:p>
      <w:pPr>
        <w:pStyle w:val="Normal"/>
        <w:spacing w:lineRule="exact" w:line="1" w:before="0" w:after="0"/>
        <w:rPr>
          <w:rFonts w:ascii="Times New Roman" w:hAnsi="Times New Roman" w:eastAsia="Times New Roman" w:cs="Times New Roman"/>
          <w:color w:val="auto"/>
          <w:sz w:val="20"/>
          <w:szCs w:val="20"/>
        </w:rPr>
      </w:pPr>
      <w:r>
        <w:rPr>
          <w:rFonts w:eastAsia="Times New Roman" w:cs="Times New Roman" w:ascii="Times New Roman" w:hAnsi="Times New Roman"/>
          <w:color w:val="auto"/>
          <w:sz w:val="20"/>
          <w:szCs w:val="20"/>
        </w:rPr>
      </w:r>
    </w:p>
    <w:p>
      <w:pPr>
        <w:pStyle w:val="Normal"/>
        <w:numPr>
          <w:ilvl w:val="1"/>
          <w:numId w:val="1"/>
        </w:numPr>
        <w:tabs>
          <w:tab w:val="clear" w:pos="720"/>
          <w:tab w:val="left" w:pos="687" w:leader="none"/>
        </w:tabs>
        <w:spacing w:lineRule="auto" w:line="247" w:before="0" w:after="0"/>
        <w:rPr/>
      </w:pPr>
      <w:r>
        <w:rPr>
          <w:rFonts w:eastAsia="Times New Roman" w:cs="Times New Roman" w:ascii="Times New Roman" w:hAnsi="Times New Roman"/>
          <w:color w:val="auto"/>
          <w:sz w:val="20"/>
          <w:szCs w:val="20"/>
        </w:rPr>
        <w:t>Akira S., Uematsu S., Takeuchi O. Pathogen recognition and innate immunity. Cell, 2006, Vol. 124, no. 4, pp. 783-801.</w:t>
      </w:r>
    </w:p>
    <w:p>
      <w:pPr>
        <w:pStyle w:val="Normal"/>
        <w:spacing w:lineRule="exact" w:line="1" w:before="0" w:after="0"/>
        <w:rPr>
          <w:rFonts w:ascii="Times New Roman" w:hAnsi="Times New Roman" w:eastAsia="Times New Roman" w:cs="Times New Roman"/>
          <w:color w:val="auto"/>
          <w:sz w:val="20"/>
          <w:szCs w:val="20"/>
        </w:rPr>
      </w:pPr>
      <w:r>
        <w:rPr>
          <w:rFonts w:eastAsia="Times New Roman" w:cs="Times New Roman" w:ascii="Times New Roman" w:hAnsi="Times New Roman"/>
          <w:color w:val="auto"/>
          <w:sz w:val="20"/>
          <w:szCs w:val="20"/>
        </w:rPr>
      </w:r>
    </w:p>
    <w:p>
      <w:pPr>
        <w:pStyle w:val="Normal"/>
        <w:numPr>
          <w:ilvl w:val="1"/>
          <w:numId w:val="1"/>
        </w:numPr>
        <w:tabs>
          <w:tab w:val="clear" w:pos="720"/>
          <w:tab w:val="left" w:pos="687" w:leader="none"/>
        </w:tabs>
        <w:spacing w:lineRule="auto" w:line="247" w:before="0" w:after="0"/>
        <w:rPr/>
      </w:pPr>
      <w:r>
        <w:rPr>
          <w:rFonts w:eastAsia="Times New Roman" w:cs="Times New Roman" w:ascii="Times New Roman" w:hAnsi="Times New Roman"/>
          <w:color w:val="auto"/>
          <w:sz w:val="20"/>
          <w:szCs w:val="20"/>
        </w:rPr>
        <w:t>Alvarez-Erviti L., Couch Y., Richardson J., Cooper JM, Wood MJ Alpha-synuclein release by neurons activates the inflammatory response в microglial cell line. Neurosci. Res., 2011, Vol. 69, no. 4, pp. 337-342.</w:t>
      </w:r>
    </w:p>
    <w:p>
      <w:pPr>
        <w:pStyle w:val="Normal"/>
        <w:numPr>
          <w:ilvl w:val="1"/>
          <w:numId w:val="1"/>
        </w:numPr>
        <w:tabs>
          <w:tab w:val="clear" w:pos="720"/>
          <w:tab w:val="left" w:pos="687" w:leader="none"/>
        </w:tabs>
        <w:spacing w:lineRule="auto" w:line="247" w:before="0" w:after="0"/>
        <w:rPr/>
      </w:pPr>
      <w:r>
        <w:rPr>
          <w:rFonts w:eastAsia="Times New Roman" w:cs="Times New Roman" w:ascii="Times New Roman" w:hAnsi="Times New Roman"/>
          <w:color w:val="auto"/>
          <w:sz w:val="20"/>
          <w:szCs w:val="20"/>
        </w:rPr>
        <w:t>Asea A. Toll-like receptors (TLRs) and innate immunity. Handb. Exp. Pharmacol. Ed. Bauer S., Hartmann G. Springer, 2008, pp. 111-127.</w:t>
      </w:r>
    </w:p>
    <w:p>
      <w:pPr>
        <w:pStyle w:val="Normal"/>
        <w:numPr>
          <w:ilvl w:val="1"/>
          <w:numId w:val="1"/>
        </w:numPr>
        <w:tabs>
          <w:tab w:val="clear" w:pos="720"/>
          <w:tab w:val="left" w:pos="687" w:leader="none"/>
        </w:tabs>
        <w:spacing w:lineRule="auto" w:line="247" w:before="0" w:after="0"/>
        <w:jc w:val="both"/>
        <w:rPr/>
      </w:pPr>
      <w:r>
        <w:rPr>
          <w:rFonts w:eastAsia="Times New Roman" w:cs="Times New Roman" w:ascii="Times New Roman" w:hAnsi="Times New Roman"/>
          <w:color w:val="auto"/>
          <w:sz w:val="20"/>
          <w:szCs w:val="20"/>
        </w:rPr>
        <w:t>Barrat FJ, Meeker T., Gregorio J., Chan JH, Uematsu S., Akira S., Chang B., Duramad O., Coffman RL Nucleic acids mammalian origin може діяти як endogenous ligands для Toll-like receptors and may promote systemic lupuse erythematosus. J. Exp. Med., 2005, Vol. 202, no. 8, pp. 1131-1139.</w:t>
      </w:r>
    </w:p>
    <w:p>
      <w:pPr>
        <w:pStyle w:val="Normal"/>
        <w:numPr>
          <w:ilvl w:val="1"/>
          <w:numId w:val="1"/>
        </w:numPr>
        <w:tabs>
          <w:tab w:val="clear" w:pos="720"/>
          <w:tab w:val="left" w:pos="687" w:leader="none"/>
        </w:tabs>
        <w:spacing w:lineRule="auto" w:line="259" w:before="0" w:after="0"/>
        <w:jc w:val="both"/>
        <w:rPr/>
      </w:pPr>
      <w:r>
        <mc:AlternateContent>
          <mc:Choice Requires="wps">
            <w:drawing>
              <wp:anchor behindDoc="1" distT="0" distB="0" distL="0" distR="0" simplePos="0" locked="0" layoutInCell="1" allowOverlap="1" relativeHeight="8">
                <wp:simplePos x="0" y="0"/>
                <wp:positionH relativeFrom="column">
                  <wp:posOffset>0</wp:posOffset>
                </wp:positionH>
                <wp:positionV relativeFrom="paragraph">
                  <wp:posOffset>94615</wp:posOffset>
                </wp:positionV>
                <wp:extent cx="6086475" cy="3175"/>
                <wp:effectExtent l="0" t="0" r="0" b="0"/>
                <wp:wrapNone/>
                <wp:docPr id="3" name="Shape 20"/>
                <a:graphic xmlns:a="http://schemas.openxmlformats.org/drawingml/2006/main">
                  <a:graphicData uri="http://schemas.microsoft.com/office/word/2010/wordprocessingShape">
                    <wps:wsp>
                      <wps:cNvSpPr/>
                      <wps:spPr>
                        <a:xfrm>
                          <a:off x="0" y="0"/>
                          <a:ext cx="6085800" cy="504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pt,7.3pt" to="479.15pt,7.65pt" ID="Shape 20" stroked="t" style="position:absolute">
                <v:stroke color="black" weight="6480" joinstyle="miter" endcap="flat"/>
                <v:fill o:detectmouseclick="t" on="false"/>
              </v:line>
            </w:pict>
          </mc:Fallback>
        </mc:AlternateContent>
      </w:r>
      <w:r>
        <w:rPr>
          <w:rFonts w:eastAsia="Times New Roman" w:cs="Times New Roman" w:ascii="Times New Roman" w:hAnsi="Times New Roman"/>
          <w:color w:val="auto"/>
          <w:sz w:val="20"/>
          <w:szCs w:val="20"/>
        </w:rPr>
        <w:t>Bauernfeind FG, Horvath G., Stutz A., Alnemri ES, MacDonald K., Speert D., Fernandes-Alnemri T., Wu J., Monks BG, Fitzgerald KA, Hornung V., Latz E. Cutting edge: NF- kappa B activating pattern recognition and cytokine receptors license NLRP3 inflammasome activation by regulating NLRP3 expression. J. Immunol., 2009, Vol. 183, no. 2, pp. 787-791.</w:t>
      </w:r>
    </w:p>
    <w:p>
      <w:pPr>
        <w:pStyle w:val="Normal"/>
        <w:numPr>
          <w:ilvl w:val="1"/>
          <w:numId w:val="1"/>
        </w:numPr>
        <w:tabs>
          <w:tab w:val="clear" w:pos="720"/>
          <w:tab w:val="left" w:pos="687" w:leader="none"/>
        </w:tabs>
        <w:spacing w:lineRule="auto" w:line="259" w:before="0" w:after="0"/>
        <w:jc w:val="both"/>
        <w:rPr/>
      </w:pPr>
      <w:r>
        <w:rPr>
          <w:rFonts w:eastAsia="Times New Roman" w:cs="Times New Roman" w:ascii="Times New Roman" w:hAnsi="Times New Roman"/>
          <w:color w:val="auto"/>
          <w:sz w:val="20"/>
          <w:szCs w:val="20"/>
        </w:rPr>
        <w:t>Bauernfeind F., Bartok E., Rieger A., ​​Franchi L., Núnez G., Hornung V. Cutting edge: реактивні oxygen species inhibitors block priming, але не activation, з NLRP3 inflammasome. J. Immunol., 2011, Vol. 187, no. 2, pp. 613-617.</w:t>
      </w:r>
    </w:p>
    <w:p>
      <w:pPr>
        <w:pStyle w:val="Normal"/>
        <w:numPr>
          <w:ilvl w:val="1"/>
          <w:numId w:val="1"/>
        </w:numPr>
        <w:tabs>
          <w:tab w:val="clear" w:pos="720"/>
          <w:tab w:val="left" w:pos="687" w:leader="none"/>
        </w:tabs>
        <w:spacing w:lineRule="auto" w:line="259" w:before="0" w:after="0"/>
        <w:jc w:val="both"/>
        <w:rPr/>
      </w:pPr>
      <w:r>
        <w:rPr>
          <w:rFonts w:eastAsia="Times New Roman" w:cs="Times New Roman" w:ascii="Times New Roman" w:hAnsi="Times New Roman"/>
          <w:color w:val="auto"/>
          <w:sz w:val="20"/>
          <w:szCs w:val="20"/>
        </w:rPr>
        <w:t xml:space="preserve">Béraud D., Twomey M., Bloom B., Mittereder A., ​​Ton V., Neitzke K., Chasovskikh S., Mhyre TR, Maguire-Zeiss KA </w:t>
      </w:r>
      <w:r>
        <w:rPr>
          <w:rFonts w:eastAsia="Arial" w:cs="Arial" w:ascii="Arial" w:hAnsi="Arial"/>
          <w:color w:val="auto"/>
          <w:sz w:val="20"/>
          <w:szCs w:val="20"/>
        </w:rPr>
        <w:t>α</w:t>
      </w:r>
      <w:r>
        <w:rPr>
          <w:rFonts w:eastAsia="Times New Roman" w:cs="Times New Roman" w:ascii="Times New Roman" w:hAnsi="Times New Roman"/>
          <w:color w:val="auto"/>
          <w:sz w:val="20"/>
          <w:szCs w:val="20"/>
        </w:rPr>
        <w:t>-Synuclein alters Toll-like receptor expression. Front. Neurosci., 2011, Vol. 5, 80. doi: 10.3389/fnins.2011.00080.</w:t>
      </w:r>
    </w:p>
    <w:p>
      <w:pPr>
        <w:pStyle w:val="Normal"/>
        <w:rPr/>
      </w:pPr>
      <w:r>
        <w:rPr/>
      </w:r>
    </w:p>
    <w:p>
      <w:pPr>
        <w:sectPr>
          <w:type w:val="continuous"/>
          <w:pgSz w:w="11906" w:h="16838"/>
          <w:pgMar w:left="1191" w:right="1086" w:header="0" w:top="409" w:footer="0" w:bottom="458" w:gutter="0"/>
          <w:formProt w:val="false"/>
          <w:textDirection w:val="lrTb"/>
          <w:docGrid w:type="default" w:linePitch="600" w:charSpace="36864"/>
        </w:sectPr>
      </w:pPr>
    </w:p>
    <w:p>
      <w:pPr>
        <w:pStyle w:val="Normal"/>
        <w:spacing w:lineRule="exact" w:line="2" w:before="0" w:after="0"/>
        <w:rPr>
          <w:rFonts w:ascii="Times New Roman" w:hAnsi="Times New Roman" w:eastAsia="Times New Roman" w:cs="Times New Roman"/>
          <w:color w:val="auto"/>
          <w:sz w:val="20"/>
          <w:szCs w:val="20"/>
        </w:rPr>
      </w:pPr>
      <w:r>
        <w:rPr>
          <w:rFonts w:eastAsia="Times New Roman" w:cs="Times New Roman" w:ascii="Times New Roman" w:hAnsi="Times New Roman"/>
          <w:color w:val="auto"/>
          <w:sz w:val="20"/>
          <w:szCs w:val="20"/>
        </w:rPr>
      </w:r>
    </w:p>
    <w:p>
      <w:pPr>
        <w:pStyle w:val="Normal"/>
        <w:numPr>
          <w:ilvl w:val="1"/>
          <w:numId w:val="2"/>
        </w:numPr>
        <w:tabs>
          <w:tab w:val="clear" w:pos="720"/>
          <w:tab w:val="left" w:pos="680" w:leader="none"/>
        </w:tabs>
        <w:spacing w:lineRule="auto" w:line="235" w:before="0" w:after="0"/>
        <w:jc w:val="both"/>
        <w:rPr/>
      </w:pPr>
      <w:r>
        <w:rPr>
          <w:rFonts w:eastAsia="Times New Roman" w:cs="Times New Roman" w:ascii="Times New Roman" w:hAnsi="Times New Roman"/>
          <w:color w:val="auto"/>
          <w:sz w:val="20"/>
          <w:szCs w:val="20"/>
        </w:rPr>
        <w:t>Biragyn A., Ruffini PA, Leifer CA, Klyushnenkova E., Shakhov A., Chertov O., Shirakawa AK, Farber JM, Segal DM, Oppenheim JJ, Kwak LW Toll-likereceptor 4-dependent activation dendritic cells by beta-defensin 2. Science, 2002, Vol. 298, pp. 1025-1029.</w:t>
      </w:r>
    </w:p>
    <w:p>
      <w:pPr>
        <w:pStyle w:val="Normal"/>
        <w:numPr>
          <w:ilvl w:val="1"/>
          <w:numId w:val="2"/>
        </w:numPr>
        <w:tabs>
          <w:tab w:val="clear" w:pos="720"/>
          <w:tab w:val="left" w:pos="680" w:leader="none"/>
        </w:tabs>
        <w:spacing w:lineRule="auto" w:line="235" w:before="0" w:after="0"/>
        <w:rPr/>
      </w:pPr>
      <w:r>
        <w:rPr>
          <w:rFonts w:eastAsia="Times New Roman" w:cs="Times New Roman" w:ascii="Times New Roman" w:hAnsi="Times New Roman"/>
          <w:color w:val="auto"/>
          <w:sz w:val="20"/>
          <w:szCs w:val="20"/>
        </w:rPr>
        <w:t>Bruunsgaard H., Andersen-Ranberg K., Hjelmborg JV, Pedersen BK, Jeune B. Знижені рівні tumoru necrosis factor alpha and mortality in centenarians. Am. J. Med., 2003, Vol. 115, no. 4, pp. 278-283.</w:t>
      </w:r>
    </w:p>
    <w:p>
      <w:pPr>
        <w:pStyle w:val="Normal"/>
        <w:spacing w:lineRule="exact" w:line="1" w:before="0" w:after="0"/>
        <w:rPr>
          <w:rFonts w:ascii="Times New Roman" w:hAnsi="Times New Roman" w:eastAsia="Times New Roman" w:cs="Times New Roman"/>
          <w:color w:val="auto"/>
          <w:sz w:val="20"/>
          <w:szCs w:val="20"/>
        </w:rPr>
      </w:pPr>
      <w:r>
        <w:rPr>
          <w:rFonts w:eastAsia="Times New Roman" w:cs="Times New Roman" w:ascii="Times New Roman" w:hAnsi="Times New Roman"/>
          <w:color w:val="auto"/>
          <w:sz w:val="20"/>
          <w:szCs w:val="20"/>
        </w:rPr>
      </w:r>
    </w:p>
    <w:p>
      <w:pPr>
        <w:pStyle w:val="Normal"/>
        <w:numPr>
          <w:ilvl w:val="1"/>
          <w:numId w:val="2"/>
        </w:numPr>
        <w:tabs>
          <w:tab w:val="clear" w:pos="720"/>
          <w:tab w:val="left" w:pos="680" w:leader="none"/>
        </w:tabs>
        <w:spacing w:lineRule="auto" w:line="235" w:before="0" w:after="0"/>
        <w:rPr/>
      </w:pPr>
      <w:r>
        <w:rPr>
          <w:rFonts w:eastAsia="Times New Roman" w:cs="Times New Roman" w:ascii="Times New Roman" w:hAnsi="Times New Roman"/>
          <w:color w:val="auto"/>
          <w:sz w:val="20"/>
          <w:szCs w:val="20"/>
        </w:rPr>
        <w:t>Bruunsgaard H., Pedersen M., Pedersen BK Aging і proinflammatory cytokines. Curr. Opin. Hematol., 2001, Vol. 8, no. 3, pp. 131-136.</w:t>
      </w:r>
    </w:p>
    <w:p>
      <w:pPr>
        <w:pStyle w:val="Normal"/>
        <w:numPr>
          <w:ilvl w:val="1"/>
          <w:numId w:val="2"/>
        </w:numPr>
        <w:tabs>
          <w:tab w:val="clear" w:pos="720"/>
          <w:tab w:val="left" w:pos="680" w:leader="none"/>
        </w:tabs>
        <w:spacing w:lineRule="auto" w:line="235" w:before="0" w:after="0"/>
        <w:rPr/>
      </w:pPr>
      <w:r>
        <w:rPr>
          <w:rFonts w:eastAsia="Times New Roman" w:cs="Times New Roman" w:ascii="Times New Roman" w:hAnsi="Times New Roman"/>
          <w:color w:val="auto"/>
          <w:sz w:val="20"/>
          <w:szCs w:val="20"/>
        </w:rPr>
        <w:t>Bsibsi M., Ravid R., Gveric D., van Noort JM Broad expression of Toll-like receptors in human central nervous system. J. Neuropathol. Exp. Neurol., 2002, Vol. 61, no. 11, pp. 1013–1021.</w:t>
      </w:r>
    </w:p>
    <w:p>
      <w:pPr>
        <w:pStyle w:val="Normal"/>
        <w:numPr>
          <w:ilvl w:val="1"/>
          <w:numId w:val="2"/>
        </w:numPr>
        <w:tabs>
          <w:tab w:val="clear" w:pos="720"/>
          <w:tab w:val="left" w:pos="680" w:leader="none"/>
        </w:tabs>
        <w:spacing w:lineRule="auto" w:line="235" w:before="0" w:after="0"/>
        <w:rPr/>
      </w:pPr>
      <w:r>
        <w:rPr>
          <w:rFonts w:eastAsia="Times New Roman" w:cs="Times New Roman" w:ascii="Times New Roman" w:hAnsi="Times New Roman"/>
          <w:color w:val="auto"/>
          <w:sz w:val="20"/>
          <w:szCs w:val="20"/>
        </w:rPr>
        <w:t>Chen GY, Brown NK, Zheng P., Liu Y. Siglec-G/10 в self-nonself discrimination of innate and adaptive immunity. Glycobiology, 2014, Vol. 24, no. 9, pp. 800–806.</w:t>
      </w:r>
    </w:p>
    <w:p>
      <w:pPr>
        <w:pStyle w:val="Normal"/>
        <w:spacing w:lineRule="exact" w:line="1" w:before="0" w:after="0"/>
        <w:rPr>
          <w:rFonts w:ascii="Times New Roman" w:hAnsi="Times New Roman" w:eastAsia="Times New Roman" w:cs="Times New Roman"/>
          <w:color w:val="auto"/>
          <w:sz w:val="20"/>
          <w:szCs w:val="20"/>
        </w:rPr>
      </w:pPr>
      <w:r>
        <w:rPr>
          <w:rFonts w:eastAsia="Times New Roman" w:cs="Times New Roman" w:ascii="Times New Roman" w:hAnsi="Times New Roman"/>
          <w:color w:val="auto"/>
          <w:sz w:val="20"/>
          <w:szCs w:val="20"/>
        </w:rPr>
      </w:r>
    </w:p>
    <w:p>
      <w:pPr>
        <w:pStyle w:val="Normal"/>
        <w:numPr>
          <w:ilvl w:val="1"/>
          <w:numId w:val="2"/>
        </w:numPr>
        <w:tabs>
          <w:tab w:val="clear" w:pos="720"/>
          <w:tab w:val="left" w:pos="680" w:leader="none"/>
        </w:tabs>
        <w:spacing w:lineRule="auto" w:line="235" w:before="0" w:after="0"/>
        <w:rPr/>
      </w:pPr>
      <w:r>
        <w:rPr>
          <w:rFonts w:eastAsia="Times New Roman" w:cs="Times New Roman" w:ascii="Times New Roman" w:hAnsi="Times New Roman"/>
          <w:color w:val="auto"/>
          <w:sz w:val="20"/>
          <w:szCs w:val="20"/>
        </w:rPr>
        <w:t>Chen GY, Nuñez G. Sterile inflammation: sensing and reacting to damage. Nat. Rev. Immunol., 2010, Vol. 10, no. 12, pp. 826-837.</w:t>
      </w:r>
    </w:p>
    <w:p>
      <w:pPr>
        <w:pStyle w:val="Normal"/>
        <w:numPr>
          <w:ilvl w:val="1"/>
          <w:numId w:val="2"/>
        </w:numPr>
        <w:tabs>
          <w:tab w:val="clear" w:pos="720"/>
          <w:tab w:val="left" w:pos="680" w:leader="none"/>
        </w:tabs>
        <w:spacing w:lineRule="auto" w:line="235" w:before="0" w:after="0"/>
        <w:jc w:val="both"/>
        <w:rPr/>
      </w:pPr>
      <w:r>
        <w:rPr>
          <w:rFonts w:eastAsia="Times New Roman" w:cs="Times New Roman" w:ascii="Times New Roman" w:hAnsi="Times New Roman"/>
          <w:color w:val="auto"/>
          <w:sz w:val="20"/>
          <w:szCs w:val="20"/>
        </w:rPr>
        <w:t>Chung HY, Cesari M., Anton S., Marzetti E., Giovannini S., Seo AY Carter C., Yu BP, Leeuwenburgh C. Molecular inflammation: underpinnings aging and age-related diseases. Ageing Res. Rev., 2009, Vol. 8, no. 1, pp. 18-30.</w:t>
      </w:r>
    </w:p>
    <w:p>
      <w:pPr>
        <w:pStyle w:val="Normal"/>
        <w:numPr>
          <w:ilvl w:val="1"/>
          <w:numId w:val="2"/>
        </w:numPr>
        <w:tabs>
          <w:tab w:val="clear" w:pos="720"/>
          <w:tab w:val="left" w:pos="680" w:leader="none"/>
        </w:tabs>
        <w:spacing w:lineRule="auto" w:line="235" w:before="0" w:after="0"/>
        <w:jc w:val="both"/>
        <w:rPr/>
      </w:pPr>
      <w:r>
        <w:rPr>
          <w:rFonts w:eastAsia="Times New Roman" w:cs="Times New Roman" w:ascii="Times New Roman" w:hAnsi="Times New Roman"/>
          <w:color w:val="auto"/>
          <w:sz w:val="20"/>
          <w:szCs w:val="20"/>
        </w:rPr>
        <w:t xml:space="preserve">Codolo G., Plotegher N., Pozzobon T., Brucale M., Tessari I., Bubacco L., de Bernard M. Triggering of inflammasome by aggregated </w:t>
      </w:r>
      <w:r>
        <w:rPr>
          <w:rFonts w:eastAsia="Arial" w:cs="Arial" w:ascii="Arial" w:hAnsi="Arial"/>
          <w:color w:val="auto"/>
          <w:sz w:val="20"/>
          <w:szCs w:val="20"/>
        </w:rPr>
        <w:t>α</w:t>
      </w:r>
      <w:r>
        <w:rPr>
          <w:rFonts w:eastAsia="Times New Roman" w:cs="Times New Roman" w:ascii="Times New Roman" w:hAnsi="Times New Roman"/>
          <w:color w:val="auto"/>
          <w:sz w:val="20"/>
          <w:szCs w:val="20"/>
        </w:rPr>
        <w:t>-синуclein, an inflammatory response в synucleinopathies. PLoS ONE, 2013, Vol. 8, no. 1, e55375. doi: 10.1371/journal.pone.0055375.</w:t>
      </w:r>
    </w:p>
    <w:p>
      <w:pPr>
        <w:pStyle w:val="Normal"/>
        <w:spacing w:lineRule="exact" w:line="2" w:before="0" w:after="0"/>
        <w:rPr>
          <w:rFonts w:ascii="Times New Roman" w:hAnsi="Times New Roman" w:eastAsia="Times New Roman" w:cs="Times New Roman"/>
          <w:color w:val="auto"/>
          <w:sz w:val="20"/>
          <w:szCs w:val="20"/>
        </w:rPr>
      </w:pPr>
      <w:r>
        <w:rPr>
          <w:rFonts w:eastAsia="Times New Roman" w:cs="Times New Roman" w:ascii="Times New Roman" w:hAnsi="Times New Roman"/>
          <w:color w:val="auto"/>
          <w:sz w:val="20"/>
          <w:szCs w:val="20"/>
        </w:rPr>
      </w:r>
    </w:p>
    <w:p>
      <w:pPr>
        <w:pStyle w:val="Normal"/>
        <w:numPr>
          <w:ilvl w:val="1"/>
          <w:numId w:val="2"/>
        </w:numPr>
        <w:tabs>
          <w:tab w:val="clear" w:pos="720"/>
          <w:tab w:val="left" w:pos="680" w:leader="none"/>
        </w:tabs>
        <w:spacing w:lineRule="auto" w:line="235" w:before="0" w:after="0"/>
        <w:jc w:val="both"/>
        <w:rPr/>
      </w:pPr>
      <w:r>
        <w:rPr>
          <w:rFonts w:eastAsia="Times New Roman" w:cs="Times New Roman" w:ascii="Times New Roman" w:hAnsi="Times New Roman"/>
          <w:color w:val="auto"/>
          <w:sz w:val="20"/>
          <w:szCs w:val="20"/>
        </w:rPr>
        <w:t>de Bouteiller O., Merck E., Hasan U.A., Hubac S., Benguigui B., Trinchieri G., Bates EE, Caux C. acidic pH. J. Biol. Chem., 2005, Vol. 280, no. 46, pp. 38133-38145.</w:t>
      </w:r>
    </w:p>
    <w:p>
      <w:pPr>
        <w:pStyle w:val="Normal"/>
        <w:numPr>
          <w:ilvl w:val="1"/>
          <w:numId w:val="2"/>
        </w:numPr>
        <w:tabs>
          <w:tab w:val="clear" w:pos="720"/>
          <w:tab w:val="left" w:pos="680" w:leader="none"/>
        </w:tabs>
        <w:spacing w:lineRule="auto" w:line="235" w:before="0" w:after="0"/>
        <w:rPr/>
      </w:pPr>
      <w:r>
        <w:rPr>
          <w:rFonts w:eastAsia="Times New Roman" w:cs="Times New Roman" w:ascii="Times New Roman" w:hAnsi="Times New Roman"/>
          <w:color w:val="auto"/>
          <w:sz w:val="20"/>
          <w:szCs w:val="20"/>
        </w:rPr>
        <w:t>Deeks SG HIV: How to escape treatment. Nature, 2011, Vol. 477, pp. 36-37.</w:t>
      </w:r>
    </w:p>
    <w:p>
      <w:pPr>
        <w:pStyle w:val="Normal"/>
        <w:numPr>
          <w:ilvl w:val="1"/>
          <w:numId w:val="2"/>
        </w:numPr>
        <w:tabs>
          <w:tab w:val="clear" w:pos="720"/>
          <w:tab w:val="left" w:pos="680" w:leader="none"/>
        </w:tabs>
        <w:spacing w:lineRule="auto" w:line="235" w:before="0" w:after="0"/>
        <w:rPr/>
      </w:pPr>
      <w:r>
        <w:rPr>
          <w:rFonts w:eastAsia="Times New Roman" w:cs="Times New Roman" w:ascii="Times New Roman" w:hAnsi="Times New Roman"/>
          <w:color w:val="auto"/>
          <w:sz w:val="20"/>
          <w:szCs w:val="20"/>
        </w:rPr>
        <w:t>Dias V., Junn E., Mouradian MM Роль oxidative stress in Parkinson's disease. J. Parkinsons Dis., 2013, Vol. 3, no. 4, pp. 461-491.</w:t>
      </w:r>
    </w:p>
    <w:p>
      <w:pPr>
        <w:pStyle w:val="Normal"/>
        <w:numPr>
          <w:ilvl w:val="1"/>
          <w:numId w:val="2"/>
        </w:numPr>
        <w:tabs>
          <w:tab w:val="clear" w:pos="720"/>
          <w:tab w:val="left" w:pos="680" w:leader="none"/>
        </w:tabs>
        <w:spacing w:lineRule="auto" w:line="235" w:before="0" w:after="0"/>
        <w:jc w:val="both"/>
        <w:rPr/>
      </w:pPr>
      <w:r>
        <w:rPr>
          <w:rFonts w:eastAsia="Times New Roman" w:cs="Times New Roman" w:ascii="Times New Roman" w:hAnsi="Times New Roman"/>
          <w:color w:val="auto"/>
          <w:sz w:val="20"/>
          <w:szCs w:val="20"/>
        </w:rPr>
        <w:t>Duewell P., Kono H., Rayner KJ, Sirois CM, Vladimer G., Bauernfeind FG, Abela GS, Franchi L., Nunez G., Schnurr M., Espevik T., Lien E., Fitzgerald KA, Rock KL, Moore KJ, Wright SD, Hornung V., Latz E. NLRP3 inflammasomes є необхідним для atherogenesis і activated cholesterol crystals. Nature, 2010, Vol. 464, no. 7293, pp. 1357-1361.</w:t>
      </w:r>
    </w:p>
    <w:p>
      <w:pPr>
        <w:pStyle w:val="Normal"/>
        <w:spacing w:lineRule="exact" w:line="1" w:before="0" w:after="0"/>
        <w:rPr>
          <w:rFonts w:ascii="Times New Roman" w:hAnsi="Times New Roman" w:eastAsia="Times New Roman" w:cs="Times New Roman"/>
          <w:color w:val="auto"/>
          <w:sz w:val="20"/>
          <w:szCs w:val="20"/>
        </w:rPr>
      </w:pPr>
      <w:r>
        <w:rPr>
          <w:rFonts w:eastAsia="Times New Roman" w:cs="Times New Roman" w:ascii="Times New Roman" w:hAnsi="Times New Roman"/>
          <w:color w:val="auto"/>
          <w:sz w:val="20"/>
          <w:szCs w:val="20"/>
        </w:rPr>
      </w:r>
    </w:p>
    <w:p>
      <w:pPr>
        <w:pStyle w:val="Normal"/>
        <w:numPr>
          <w:ilvl w:val="1"/>
          <w:numId w:val="2"/>
        </w:numPr>
        <w:tabs>
          <w:tab w:val="clear" w:pos="720"/>
          <w:tab w:val="left" w:pos="680" w:leader="none"/>
        </w:tabs>
        <w:spacing w:before="0" w:after="0"/>
        <w:rPr/>
      </w:pPr>
      <w:r>
        <w:rPr>
          <w:rFonts w:eastAsia="Times New Roman" w:cs="Times New Roman" w:ascii="Times New Roman" w:hAnsi="Times New Roman"/>
          <w:color w:val="auto"/>
          <w:sz w:val="19"/>
          <w:szCs w:val="19"/>
        </w:rPr>
        <w:t>Ershler WB Interleukin-6: Cytokine для геронтологістів. J. Am. Geriatr. Soc., 1993, Vol. 41, no. 2, pp. 176-181.</w:t>
      </w:r>
    </w:p>
    <w:p>
      <w:pPr>
        <w:pStyle w:val="Normal"/>
        <w:spacing w:lineRule="exact" w:line="10" w:before="0" w:after="0"/>
        <w:rPr>
          <w:rFonts w:ascii="Times New Roman" w:hAnsi="Times New Roman" w:eastAsia="Times New Roman" w:cs="Times New Roman"/>
          <w:color w:val="auto"/>
          <w:sz w:val="19"/>
          <w:szCs w:val="19"/>
        </w:rPr>
      </w:pPr>
      <w:r>
        <w:rPr>
          <w:rFonts w:eastAsia="Times New Roman" w:cs="Times New Roman" w:ascii="Times New Roman" w:hAnsi="Times New Roman"/>
          <w:color w:val="auto"/>
          <w:sz w:val="19"/>
          <w:szCs w:val="19"/>
        </w:rPr>
      </w:r>
    </w:p>
    <w:p>
      <w:pPr>
        <w:pStyle w:val="Normal"/>
        <w:numPr>
          <w:ilvl w:val="1"/>
          <w:numId w:val="2"/>
        </w:numPr>
        <w:tabs>
          <w:tab w:val="clear" w:pos="720"/>
          <w:tab w:val="left" w:pos="680" w:leader="none"/>
        </w:tabs>
        <w:spacing w:lineRule="auto" w:line="235" w:before="0" w:after="0"/>
        <w:rPr/>
      </w:pPr>
      <w:r>
        <w:rPr>
          <w:rFonts w:eastAsia="Times New Roman" w:cs="Times New Roman" w:ascii="Times New Roman" w:hAnsi="Times New Roman"/>
          <w:color w:val="auto"/>
          <w:sz w:val="20"/>
          <w:szCs w:val="20"/>
        </w:rPr>
        <w:t>Ferrucci L., Corsi A., Lauretani F., Bandinelli S., Bartali B., Taub DD, Guralnik JM, Longo DL. Blood, 2005, Vol. 105, no. 6, pp. 2294-2299.</w:t>
      </w:r>
    </w:p>
    <w:p>
      <w:pPr>
        <w:pStyle w:val="Normal"/>
        <w:numPr>
          <w:ilvl w:val="1"/>
          <w:numId w:val="2"/>
        </w:numPr>
        <w:tabs>
          <w:tab w:val="clear" w:pos="720"/>
          <w:tab w:val="left" w:pos="680" w:leader="none"/>
        </w:tabs>
        <w:spacing w:lineRule="auto" w:line="235" w:before="0" w:after="0"/>
        <w:jc w:val="both"/>
        <w:rPr/>
      </w:pPr>
      <w:r>
        <w:rPr>
          <w:rFonts w:eastAsia="Times New Roman" w:cs="Times New Roman" w:ascii="Times New Roman" w:hAnsi="Times New Roman"/>
          <w:color w:val="auto"/>
          <w:sz w:val="20"/>
          <w:szCs w:val="20"/>
        </w:rPr>
        <w:t>Fettelschoss A., Kistowska M., Leibund Gut-Landmann S., Beer HD, Johansen P., Senti G., Contassot E., Bachmann MF, French LE, Oxenius A., Kundig TM Inflammasome activation and IL-1</w:t>
      </w:r>
      <w:r>
        <w:rPr>
          <w:rFonts w:eastAsia="Arial" w:cs="Arial" w:ascii="Arial" w:hAnsi="Arial"/>
          <w:color w:val="auto"/>
          <w:sz w:val="20"/>
          <w:szCs w:val="20"/>
        </w:rPr>
        <w:t>β</w:t>
      </w:r>
      <w:r>
        <w:rPr>
          <w:rFonts w:eastAsia="Times New Roman" w:cs="Times New Roman" w:ascii="Times New Roman" w:hAnsi="Times New Roman"/>
          <w:color w:val="auto"/>
          <w:sz w:val="20"/>
          <w:szCs w:val="20"/>
        </w:rPr>
        <w:t xml:space="preserve"> target IL-1</w:t>
      </w:r>
      <w:r>
        <w:rPr>
          <w:rFonts w:eastAsia="Arial" w:cs="Arial" w:ascii="Arial" w:hAnsi="Arial"/>
          <w:color w:val="auto"/>
          <w:sz w:val="20"/>
          <w:szCs w:val="20"/>
        </w:rPr>
        <w:t>α</w:t>
      </w:r>
      <w:r>
        <w:rPr>
          <w:rFonts w:eastAsia="Times New Roman" w:cs="Times New Roman" w:ascii="Times New Roman" w:hAnsi="Times New Roman"/>
          <w:color w:val="auto"/>
          <w:sz w:val="20"/>
          <w:szCs w:val="20"/>
        </w:rPr>
        <w:t>for secretion як opposed to surface expression. Proc. Natl. Acad. Sci. USA, 2011, Vol. 108, no. 44, pp. 18055-18060.</w:t>
      </w:r>
    </w:p>
    <w:p>
      <w:pPr>
        <w:pStyle w:val="Normal"/>
        <w:spacing w:lineRule="exact" w:line="2" w:before="0" w:after="0"/>
        <w:rPr>
          <w:rFonts w:ascii="Times New Roman" w:hAnsi="Times New Roman" w:eastAsia="Times New Roman" w:cs="Times New Roman"/>
          <w:color w:val="auto"/>
          <w:sz w:val="20"/>
          <w:szCs w:val="20"/>
        </w:rPr>
      </w:pPr>
      <w:r>
        <w:rPr>
          <w:rFonts w:eastAsia="Times New Roman" w:cs="Times New Roman" w:ascii="Times New Roman" w:hAnsi="Times New Roman"/>
          <w:color w:val="auto"/>
          <w:sz w:val="20"/>
          <w:szCs w:val="20"/>
        </w:rPr>
      </w:r>
    </w:p>
    <w:p>
      <w:pPr>
        <w:pStyle w:val="Normal"/>
        <w:numPr>
          <w:ilvl w:val="1"/>
          <w:numId w:val="2"/>
        </w:numPr>
        <w:tabs>
          <w:tab w:val="clear" w:pos="720"/>
          <w:tab w:val="left" w:pos="680" w:leader="none"/>
        </w:tabs>
        <w:spacing w:lineRule="auto" w:line="235" w:before="0" w:after="0"/>
        <w:rPr/>
      </w:pPr>
      <w:r>
        <w:rPr>
          <w:rFonts w:eastAsia="Times New Roman" w:cs="Times New Roman" w:ascii="Times New Roman" w:hAnsi="Times New Roman"/>
          <w:color w:val="auto"/>
          <w:sz w:val="20"/>
          <w:szCs w:val="20"/>
        </w:rPr>
        <w:t>Foell D., Wittkowski H., Vogl T., Roth J. S100 proteins expressed в фагоцитах: a novel group of damage-associated molecular pattern molecules. J. Leukoc. Biol., 2007, Vol. 81, no. 1, pp. 28-37.</w:t>
      </w:r>
    </w:p>
    <w:p>
      <w:pPr>
        <w:pStyle w:val="Normal"/>
        <w:numPr>
          <w:ilvl w:val="1"/>
          <w:numId w:val="2"/>
        </w:numPr>
        <w:tabs>
          <w:tab w:val="clear" w:pos="720"/>
          <w:tab w:val="left" w:pos="680" w:leader="none"/>
        </w:tabs>
        <w:spacing w:lineRule="auto" w:line="235" w:before="0" w:after="0"/>
        <w:rPr/>
      </w:pPr>
      <w:r>
        <w:rPr>
          <w:rFonts w:eastAsia="Times New Roman" w:cs="Times New Roman" w:ascii="Times New Roman" w:hAnsi="Times New Roman"/>
          <w:color w:val="auto"/>
          <w:sz w:val="20"/>
          <w:szCs w:val="20"/>
        </w:rPr>
        <w:t>Franceschi C., Bonafe M., Valensin S., Olivieri F., Luca M., Ottaviani E., Benedictis G. Inflammaging. На еволюційно-перспективному на іммуносенсації. Ann. NY Acad. Sci., 2000, Vol. 908, pp. 208-218.</w:t>
      </w:r>
    </w:p>
    <w:p>
      <w:pPr>
        <w:pStyle w:val="Normal"/>
        <w:numPr>
          <w:ilvl w:val="1"/>
          <w:numId w:val="2"/>
        </w:numPr>
        <w:tabs>
          <w:tab w:val="clear" w:pos="720"/>
          <w:tab w:val="left" w:pos="680" w:leader="none"/>
        </w:tabs>
        <w:spacing w:lineRule="auto" w:line="235" w:before="0" w:after="0"/>
        <w:rPr/>
      </w:pPr>
      <w:r>
        <w:rPr>
          <w:rFonts w:eastAsia="Times New Roman" w:cs="Times New Roman" w:ascii="Times New Roman" w:hAnsi="Times New Roman"/>
          <w:color w:val="auto"/>
          <w:sz w:val="20"/>
          <w:szCs w:val="20"/>
        </w:rPr>
        <w:t>Franceschi C., Campisi J. Chronic inflammation (inflammaging) і його потенційна contribution до age-associated diseases. J. Gerontol. A Biol. Sci. Med. Sci., 2014, Vol. 69, Suppl. 1, pp. S4-S9.</w:t>
      </w:r>
    </w:p>
    <w:p>
      <w:pPr>
        <w:pStyle w:val="Normal"/>
        <w:numPr>
          <w:ilvl w:val="1"/>
          <w:numId w:val="2"/>
        </w:numPr>
        <w:tabs>
          <w:tab w:val="clear" w:pos="720"/>
          <w:tab w:val="left" w:pos="680" w:leader="none"/>
        </w:tabs>
        <w:spacing w:lineRule="auto" w:line="235" w:before="0" w:after="0"/>
        <w:rPr/>
      </w:pPr>
      <w:r>
        <w:rPr>
          <w:rFonts w:eastAsia="Times New Roman" w:cs="Times New Roman" w:ascii="Times New Roman" w:hAnsi="Times New Roman"/>
          <w:color w:val="auto"/>
          <w:sz w:val="20"/>
          <w:szCs w:val="20"/>
        </w:rPr>
        <w:t>Frey H., Schroeder N., Manon-Jensen T., Iozzo RV, Schaefer L. Biological interplay між proteoglycans і їх innate immune receptors in inflammation. FEBS J., 2013, Vol. 280, no. 10, pp. 2165-2179.</w:t>
      </w:r>
    </w:p>
    <w:p>
      <w:pPr>
        <w:pStyle w:val="Normal"/>
        <w:spacing w:lineRule="exact" w:line="1" w:before="0" w:after="0"/>
        <w:rPr>
          <w:rFonts w:ascii="Times New Roman" w:hAnsi="Times New Roman" w:eastAsia="Times New Roman" w:cs="Times New Roman"/>
          <w:color w:val="auto"/>
          <w:sz w:val="20"/>
          <w:szCs w:val="20"/>
        </w:rPr>
      </w:pPr>
      <w:r>
        <w:rPr>
          <w:rFonts w:eastAsia="Times New Roman" w:cs="Times New Roman" w:ascii="Times New Roman" w:hAnsi="Times New Roman"/>
          <w:color w:val="auto"/>
          <w:sz w:val="20"/>
          <w:szCs w:val="20"/>
        </w:rPr>
      </w:r>
    </w:p>
    <w:p>
      <w:pPr>
        <w:pStyle w:val="Normal"/>
        <w:numPr>
          <w:ilvl w:val="1"/>
          <w:numId w:val="2"/>
        </w:numPr>
        <w:tabs>
          <w:tab w:val="clear" w:pos="720"/>
          <w:tab w:val="left" w:pos="680" w:leader="none"/>
        </w:tabs>
        <w:spacing w:lineRule="auto" w:line="235" w:before="0" w:after="0"/>
        <w:rPr/>
      </w:pPr>
      <w:r>
        <w:rPr>
          <w:rFonts w:eastAsia="Times New Roman" w:cs="Times New Roman" w:ascii="Times New Roman" w:hAnsi="Times New Roman"/>
          <w:color w:val="auto"/>
          <w:sz w:val="20"/>
          <w:szCs w:val="20"/>
        </w:rPr>
        <w:t>Fulop T., Witkowski JM, Olivieri F., Larbi a. Semin. Immunol., 2018, Vol. 40, pp. 17-35.</w:t>
      </w:r>
    </w:p>
    <w:p>
      <w:pPr>
        <w:pStyle w:val="Normal"/>
        <w:numPr>
          <w:ilvl w:val="1"/>
          <w:numId w:val="2"/>
        </w:numPr>
        <w:tabs>
          <w:tab w:val="clear" w:pos="720"/>
          <w:tab w:val="left" w:pos="680" w:leader="none"/>
        </w:tabs>
        <w:spacing w:lineRule="auto" w:line="235" w:before="0" w:after="0"/>
        <w:jc w:val="both"/>
        <w:rPr/>
      </w:pPr>
      <w:r>
        <w:rPr>
          <w:rFonts w:eastAsia="Times New Roman" w:cs="Times New Roman" w:ascii="Times New Roman" w:hAnsi="Times New Roman"/>
          <w:color w:val="auto"/>
          <w:sz w:val="20"/>
          <w:szCs w:val="20"/>
        </w:rPr>
        <w:t>Gangemi S., Basile G., Merendino RA, Minciullo PL, Novick D., Rubinstein M., Dinarello CA, lo Balbo C., Franceschi C., Basili S., d'Urbano E., Daví G., Nicita- Mauro V., Romano M. Утворені циркуляції Interleukin-18 рівнів у centenarias with no signs of vascular disease: another paradox of longevity? Exp. Gerontol., 2003, Vol. 38, no. 6, pp. 669-672.</w:t>
      </w:r>
    </w:p>
    <w:p>
      <w:pPr>
        <w:pStyle w:val="Normal"/>
        <w:numPr>
          <w:ilvl w:val="1"/>
          <w:numId w:val="2"/>
        </w:numPr>
        <w:tabs>
          <w:tab w:val="clear" w:pos="720"/>
          <w:tab w:val="left" w:pos="680" w:leader="none"/>
        </w:tabs>
        <w:spacing w:lineRule="auto" w:line="235" w:before="0" w:after="0"/>
        <w:jc w:val="both"/>
        <w:rPr/>
      </w:pPr>
      <w:r>
        <w:rPr>
          <w:rFonts w:eastAsia="Times New Roman" w:cs="Times New Roman" w:ascii="Times New Roman" w:hAnsi="Times New Roman"/>
          <w:color w:val="auto"/>
          <w:sz w:val="20"/>
          <w:szCs w:val="20"/>
        </w:rPr>
        <w:t>Gangemi S., Basile G., Monti D., Merendino RA, di Pasquale G., Bisignano U., Nicita-Mauro V., Franceschi C. Середня-відповідні зміни в циркуляції IL-15 рівнів у людях. Mediators Inflamm., 2005, Vol. 2005, no 4, pp. 245-247.</w:t>
      </w:r>
    </w:p>
    <w:p>
      <w:pPr>
        <w:pStyle w:val="Normal"/>
        <w:numPr>
          <w:ilvl w:val="1"/>
          <w:numId w:val="2"/>
        </w:numPr>
        <w:tabs>
          <w:tab w:val="clear" w:pos="720"/>
          <w:tab w:val="left" w:pos="680" w:leader="none"/>
        </w:tabs>
        <w:spacing w:lineRule="auto" w:line="276" w:before="0" w:after="0"/>
        <w:rPr/>
      </w:pPr>
      <w:r>
        <mc:AlternateContent>
          <mc:Choice Requires="wps">
            <w:drawing>
              <wp:anchor behindDoc="1" distT="0" distB="0" distL="0" distR="0" simplePos="0" locked="0" layoutInCell="1" allowOverlap="1" relativeHeight="7">
                <wp:simplePos x="0" y="0"/>
                <wp:positionH relativeFrom="column">
                  <wp:posOffset>-1905</wp:posOffset>
                </wp:positionH>
                <wp:positionV relativeFrom="paragraph">
                  <wp:posOffset>83820</wp:posOffset>
                </wp:positionV>
                <wp:extent cx="6085840" cy="3175"/>
                <wp:effectExtent l="0" t="0" r="0" b="0"/>
                <wp:wrapNone/>
                <wp:docPr id="4" name="Shape 22"/>
                <a:graphic xmlns:a="http://schemas.openxmlformats.org/drawingml/2006/main">
                  <a:graphicData uri="http://schemas.microsoft.com/office/word/2010/wordprocessingShape">
                    <wps:wsp>
                      <wps:cNvSpPr/>
                      <wps:spPr>
                        <a:xfrm>
                          <a:off x="0" y="0"/>
                          <a:ext cx="6085080" cy="504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2pt,6.45pt" to="478.9pt,6.8pt" ID="Shape 22" stroked="t" style="position:absolute">
                <v:stroke color="black" weight="6480" joinstyle="miter" endcap="flat"/>
                <v:fill o:detectmouseclick="t" on="false"/>
              </v:line>
            </w:pict>
          </mc:Fallback>
        </mc:AlternateContent>
      </w:r>
      <w:r>
        <w:rPr>
          <w:rFonts w:eastAsia="Times New Roman" w:cs="Times New Roman" w:ascii="Times New Roman" w:hAnsi="Times New Roman"/>
          <w:color w:val="auto"/>
          <w:sz w:val="20"/>
          <w:szCs w:val="20"/>
        </w:rPr>
        <w:t>Ghaemi-Oskouie F., Shi Y. Роль урічної агресії як endogenous danger signal in immunity and inflammation. Curr. Rheumatol. Rep., 2011, Vol. 13, no. 2, pp. 160-166.</w:t>
      </w:r>
    </w:p>
    <w:p>
      <w:pPr>
        <w:pStyle w:val="Normal"/>
        <w:numPr>
          <w:ilvl w:val="1"/>
          <w:numId w:val="2"/>
        </w:numPr>
        <w:tabs>
          <w:tab w:val="clear" w:pos="720"/>
          <w:tab w:val="left" w:pos="680" w:leader="none"/>
        </w:tabs>
        <w:spacing w:lineRule="auto" w:line="276" w:before="0" w:after="0"/>
        <w:rPr/>
      </w:pPr>
      <w:r>
        <w:rPr>
          <w:rFonts w:eastAsia="Times New Roman" w:cs="Times New Roman" w:ascii="Times New Roman" w:hAnsi="Times New Roman"/>
          <w:color w:val="auto"/>
          <w:sz w:val="20"/>
          <w:szCs w:val="20"/>
        </w:rPr>
        <w:t>Giovannini S., Onder G., Liperoti R., Russo A., Carter C., Capoluongo E., Pahor M., Bernabei R., Landi F. Interleukin-6, C-реактивний proteín, і цитограма некросісної factor-alpha as predictors of mortality in frail, community-living elderly individuals. J. Am. Geriatr. Soc., 2011, Vol. 59, no. 9, pp. 1679-1685.</w:t>
      </w:r>
    </w:p>
    <w:p>
      <w:pPr>
        <w:sectPr>
          <w:type w:val="continuous"/>
          <w:pgSz w:w="11906" w:h="16838"/>
          <w:pgMar w:left="1191" w:right="1086" w:header="0" w:top="409" w:footer="0" w:bottom="458" w:gutter="0"/>
          <w:formProt w:val="false"/>
          <w:textDirection w:val="lrTb"/>
          <w:docGrid w:type="default" w:linePitch="600" w:charSpace="36864"/>
        </w:sectPr>
      </w:pPr>
    </w:p>
    <w:p>
      <w:pPr>
        <w:pStyle w:val="Normal"/>
        <w:numPr>
          <w:ilvl w:val="2"/>
          <w:numId w:val="3"/>
        </w:numPr>
        <w:tabs>
          <w:tab w:val="clear" w:pos="720"/>
          <w:tab w:val="left" w:pos="680" w:leader="none"/>
        </w:tabs>
        <w:spacing w:lineRule="auto" w:line="235" w:before="0" w:after="0"/>
        <w:rPr/>
      </w:pPr>
      <w:r>
        <w:rPr>
          <w:rFonts w:eastAsia="Times New Roman" w:cs="Times New Roman" w:ascii="Times New Roman" w:hAnsi="Times New Roman"/>
          <w:color w:val="auto"/>
          <w:sz w:val="20"/>
          <w:szCs w:val="20"/>
        </w:rPr>
        <w:t>Gregor MF, Hotamisligil GS Inflammatory mechanisms in obesity. Annu. Rev. Immunol., 2011, Vol. 29, pp. 415-445.</w:t>
      </w:r>
    </w:p>
    <w:p>
      <w:pPr>
        <w:pStyle w:val="Normal"/>
        <w:numPr>
          <w:ilvl w:val="2"/>
          <w:numId w:val="3"/>
        </w:numPr>
        <w:tabs>
          <w:tab w:val="clear" w:pos="720"/>
          <w:tab w:val="left" w:pos="680" w:leader="none"/>
        </w:tabs>
        <w:spacing w:lineRule="auto" w:line="235" w:before="0" w:after="0"/>
        <w:jc w:val="both"/>
        <w:rPr/>
      </w:pPr>
      <w:r>
        <w:rPr>
          <w:rFonts w:eastAsia="Times New Roman" w:cs="Times New Roman" w:ascii="Times New Roman" w:hAnsi="Times New Roman"/>
          <w:color w:val="auto"/>
          <w:sz w:val="20"/>
          <w:szCs w:val="20"/>
        </w:rPr>
        <w:t>Gross O., Yazdi AS, Thomas CJ, Masin M., Heinz LX, Guarda G., Quadroni M., Drexler SK, Tschopp J. Inflammasome activators induce interleukin-1</w:t>
      </w:r>
      <w:r>
        <w:rPr>
          <w:rFonts w:eastAsia="Arial" w:cs="Arial" w:ascii="Arial" w:hAnsi="Arial"/>
          <w:color w:val="auto"/>
          <w:sz w:val="20"/>
          <w:szCs w:val="20"/>
        </w:rPr>
        <w:t>α</w:t>
      </w:r>
      <w:r>
        <w:rPr>
          <w:rFonts w:eastAsia="Times New Roman" w:cs="Times New Roman" w:ascii="Times New Roman" w:hAnsi="Times New Roman"/>
          <w:color w:val="auto"/>
          <w:sz w:val="20"/>
          <w:szCs w:val="20"/>
        </w:rPr>
        <w:t>Середовище з різних аспектів з різними вимогами для захисту функцій caspase-1. Immunity, 2012, Vol. 36, no. 3, pp. 388-400.</w:t>
      </w:r>
    </w:p>
    <w:p>
      <w:pPr>
        <w:pStyle w:val="Normal"/>
        <w:spacing w:lineRule="exact" w:line="2" w:before="0" w:after="0"/>
        <w:rPr>
          <w:rFonts w:ascii="Times New Roman" w:hAnsi="Times New Roman" w:eastAsia="Times New Roman" w:cs="Times New Roman"/>
          <w:color w:val="auto"/>
          <w:sz w:val="20"/>
          <w:szCs w:val="20"/>
        </w:rPr>
      </w:pPr>
      <w:r>
        <w:rPr>
          <w:rFonts w:eastAsia="Times New Roman" w:cs="Times New Roman" w:ascii="Times New Roman" w:hAnsi="Times New Roman"/>
          <w:color w:val="auto"/>
          <w:sz w:val="20"/>
          <w:szCs w:val="20"/>
        </w:rPr>
      </w:r>
    </w:p>
    <w:p>
      <w:pPr>
        <w:pStyle w:val="Normal"/>
        <w:numPr>
          <w:ilvl w:val="2"/>
          <w:numId w:val="3"/>
        </w:numPr>
        <w:tabs>
          <w:tab w:val="clear" w:pos="720"/>
          <w:tab w:val="left" w:pos="680" w:leader="none"/>
        </w:tabs>
        <w:spacing w:lineRule="auto" w:line="235" w:before="0" w:after="0"/>
        <w:jc w:val="both"/>
        <w:rPr/>
      </w:pPr>
      <w:r>
        <w:rPr>
          <w:rFonts w:eastAsia="Times New Roman" w:cs="Times New Roman" w:ascii="Times New Roman" w:hAnsi="Times New Roman"/>
          <w:color w:val="auto"/>
          <w:sz w:val="20"/>
          <w:szCs w:val="20"/>
        </w:rPr>
        <w:t>Halle A., Hornung V., Petzold GC, Stewart CR, Monks BG, Reinheckel T., Fitzgerald KA, Latz E., Moore KJ, Golenbock DT NALP3 inflammasome є викликаний в зовнішнє іммунне відповідь до amyloid-beta. Nat. Immunol., 2008, Vol. 9, no. 8, pp. 857-865.</w:t>
      </w:r>
    </w:p>
    <w:p>
      <w:pPr>
        <w:pStyle w:val="Normal"/>
        <w:numPr>
          <w:ilvl w:val="2"/>
          <w:numId w:val="3"/>
        </w:numPr>
        <w:tabs>
          <w:tab w:val="clear" w:pos="720"/>
          <w:tab w:val="left" w:pos="680" w:leader="none"/>
        </w:tabs>
        <w:spacing w:lineRule="auto" w:line="235" w:before="0" w:after="0"/>
        <w:rPr/>
      </w:pPr>
      <w:r>
        <w:rPr>
          <w:rFonts w:eastAsia="Times New Roman" w:cs="Times New Roman" w:ascii="Times New Roman" w:hAnsi="Times New Roman"/>
          <w:color w:val="auto"/>
          <w:sz w:val="20"/>
          <w:szCs w:val="20"/>
        </w:rPr>
        <w:t>Heintz C., Mair W. Ви є те, що ви: microbiome modulation of aging process. Cell, 2014, Vol. 156, no. 3, pp. 408-411.</w:t>
      </w:r>
    </w:p>
    <w:p>
      <w:pPr>
        <w:pStyle w:val="Normal"/>
        <w:numPr>
          <w:ilvl w:val="2"/>
          <w:numId w:val="3"/>
        </w:numPr>
        <w:tabs>
          <w:tab w:val="clear" w:pos="720"/>
          <w:tab w:val="left" w:pos="680" w:leader="none"/>
        </w:tabs>
        <w:spacing w:lineRule="auto" w:line="235" w:before="0" w:after="0"/>
        <w:jc w:val="both"/>
        <w:rPr/>
      </w:pPr>
      <w:r>
        <w:rPr>
          <w:rFonts w:eastAsia="Times New Roman" w:cs="Times New Roman" w:ascii="Times New Roman" w:hAnsi="Times New Roman"/>
          <w:color w:val="auto"/>
          <w:sz w:val="20"/>
          <w:szCs w:val="20"/>
        </w:rPr>
        <w:t>Jin C., Frayssinet P., Pelker R., Cwirka D., Hu B., Vignery A., Eisenbarth SC, Flavell RA NLRP3 inflammasome відіграє важливу роль у pathogenesis hydroxyapatite-associated arthropathy. Proc. Natl. Acad. Sci. USA, 2011, Vol. 108, pp. 14867-14872.</w:t>
      </w:r>
    </w:p>
    <w:p>
      <w:pPr>
        <w:pStyle w:val="Normal"/>
        <w:numPr>
          <w:ilvl w:val="2"/>
          <w:numId w:val="3"/>
        </w:numPr>
        <w:tabs>
          <w:tab w:val="clear" w:pos="720"/>
          <w:tab w:val="left" w:pos="680" w:leader="none"/>
        </w:tabs>
        <w:spacing w:lineRule="auto" w:line="235" w:before="0" w:after="0"/>
        <w:jc w:val="both"/>
        <w:rPr/>
      </w:pPr>
      <w:r>
        <w:rPr>
          <w:rFonts w:eastAsia="Times New Roman" w:cs="Times New Roman" w:ascii="Times New Roman" w:hAnsi="Times New Roman"/>
          <w:color w:val="auto"/>
          <w:sz w:val="20"/>
          <w:szCs w:val="20"/>
        </w:rPr>
        <w:t>Jing Y., Shaheen E., Drake RR, Chen N., Gravenstein S., Deng Y. Aging є поєднаний з numerical and functional decline in plasmacytoid dendritic cells, whereas myeloid dendritic cells are relatively unltered in human peripheral blo. Hum. Immunol., 2009, Vol. 70, no. 10, pp. 777-784.</w:t>
      </w:r>
    </w:p>
    <w:p>
      <w:pPr>
        <w:pStyle w:val="Normal"/>
        <w:numPr>
          <w:ilvl w:val="2"/>
          <w:numId w:val="3"/>
        </w:numPr>
        <w:tabs>
          <w:tab w:val="clear" w:pos="720"/>
          <w:tab w:val="left" w:pos="680" w:leader="none"/>
        </w:tabs>
        <w:spacing w:lineRule="auto" w:line="235" w:before="0" w:after="0"/>
        <w:rPr/>
      </w:pPr>
      <w:r>
        <w:rPr>
          <w:rFonts w:eastAsia="Times New Roman" w:cs="Times New Roman" w:ascii="Times New Roman" w:hAnsi="Times New Roman"/>
          <w:color w:val="auto"/>
          <w:sz w:val="20"/>
          <w:szCs w:val="20"/>
        </w:rPr>
        <w:t>Johnson GB, Brunn GJ, Kodaira Y., Platt JL Receptor-mediated Monitoring tissue well-being via detection of soluble heparan sulfate by Toll-like receptor 4. J. Immunol., 2002, Vol. 168, no. 10, pp. 5233-5239.</w:t>
      </w:r>
    </w:p>
    <w:p>
      <w:pPr>
        <w:pStyle w:val="Normal"/>
        <w:spacing w:lineRule="exact" w:line="1" w:before="0" w:after="0"/>
        <w:rPr>
          <w:rFonts w:ascii="Times New Roman" w:hAnsi="Times New Roman" w:eastAsia="Times New Roman" w:cs="Times New Roman"/>
          <w:color w:val="auto"/>
          <w:sz w:val="20"/>
          <w:szCs w:val="20"/>
        </w:rPr>
      </w:pPr>
      <w:r>
        <w:rPr>
          <w:rFonts w:eastAsia="Times New Roman" w:cs="Times New Roman" w:ascii="Times New Roman" w:hAnsi="Times New Roman"/>
          <w:color w:val="auto"/>
          <w:sz w:val="20"/>
          <w:szCs w:val="20"/>
        </w:rPr>
      </w:r>
    </w:p>
    <w:p>
      <w:pPr>
        <w:pStyle w:val="Normal"/>
        <w:numPr>
          <w:ilvl w:val="2"/>
          <w:numId w:val="3"/>
        </w:numPr>
        <w:tabs>
          <w:tab w:val="clear" w:pos="720"/>
          <w:tab w:val="left" w:pos="680" w:leader="none"/>
        </w:tabs>
        <w:spacing w:lineRule="auto" w:line="235" w:before="0" w:after="0"/>
        <w:rPr/>
      </w:pPr>
      <w:r>
        <w:rPr>
          <w:rFonts w:eastAsia="Times New Roman" w:cs="Times New Roman" w:ascii="Times New Roman" w:hAnsi="Times New Roman"/>
          <w:color w:val="auto"/>
          <w:sz w:val="20"/>
          <w:szCs w:val="20"/>
        </w:rPr>
        <w:t>Kaisho T., Akira S. Toll-like receptor function and signaling. J. Allergy Clin. Immunol., 2006, Vol. 117, no. 5, pp. 979-987.</w:t>
      </w:r>
    </w:p>
    <w:p>
      <w:pPr>
        <w:pStyle w:val="Normal"/>
        <w:numPr>
          <w:ilvl w:val="2"/>
          <w:numId w:val="3"/>
        </w:numPr>
        <w:tabs>
          <w:tab w:val="clear" w:pos="720"/>
          <w:tab w:val="left" w:pos="680" w:leader="none"/>
        </w:tabs>
        <w:spacing w:before="0" w:after="0"/>
        <w:rPr/>
      </w:pPr>
      <w:r>
        <w:rPr>
          <w:rFonts w:eastAsia="Times New Roman" w:cs="Times New Roman" w:ascii="Times New Roman" w:hAnsi="Times New Roman"/>
          <w:color w:val="auto"/>
          <w:sz w:val="20"/>
          <w:szCs w:val="20"/>
        </w:rPr>
        <w:t>Kawai T., Akira S. TLR сигналізація. Semin. Immunol., 2007, Vol. 19, no. 1, pp. 24-32.</w:t>
      </w:r>
    </w:p>
    <w:p>
      <w:pPr>
        <w:pStyle w:val="Normal"/>
        <w:numPr>
          <w:ilvl w:val="2"/>
          <w:numId w:val="3"/>
        </w:numPr>
        <w:tabs>
          <w:tab w:val="clear" w:pos="720"/>
          <w:tab w:val="left" w:pos="680" w:leader="none"/>
        </w:tabs>
        <w:spacing w:lineRule="auto" w:line="235" w:before="0" w:after="0"/>
        <w:rPr/>
      </w:pPr>
      <w:r>
        <w:rPr>
          <w:rFonts w:eastAsia="Times New Roman" w:cs="Times New Roman" w:ascii="Times New Roman" w:hAnsi="Times New Roman"/>
          <w:color w:val="auto"/>
          <w:sz w:val="20"/>
          <w:szCs w:val="20"/>
        </w:rPr>
        <w:t>Kawai T., Akira S. Роль pattern-recognition receptors in innate immunity: update on Toll-like receptors. Nat. Immunol., 2010, Vol. 11, no. 5, pp. 373-384.</w:t>
      </w:r>
    </w:p>
    <w:p>
      <w:pPr>
        <w:pStyle w:val="Normal"/>
        <w:spacing w:lineRule="exact" w:line="1" w:before="0" w:after="0"/>
        <w:rPr>
          <w:rFonts w:ascii="Times New Roman" w:hAnsi="Times New Roman" w:eastAsia="Times New Roman" w:cs="Times New Roman"/>
          <w:color w:val="auto"/>
          <w:sz w:val="20"/>
          <w:szCs w:val="20"/>
        </w:rPr>
      </w:pPr>
      <w:r>
        <w:rPr>
          <w:rFonts w:eastAsia="Times New Roman" w:cs="Times New Roman" w:ascii="Times New Roman" w:hAnsi="Times New Roman"/>
          <w:color w:val="auto"/>
          <w:sz w:val="20"/>
          <w:szCs w:val="20"/>
        </w:rPr>
      </w:r>
    </w:p>
    <w:p>
      <w:pPr>
        <w:pStyle w:val="Normal"/>
        <w:numPr>
          <w:ilvl w:val="2"/>
          <w:numId w:val="3"/>
        </w:numPr>
        <w:tabs>
          <w:tab w:val="clear" w:pos="720"/>
          <w:tab w:val="left" w:pos="680" w:leader="none"/>
        </w:tabs>
        <w:spacing w:lineRule="auto" w:line="235" w:before="0" w:after="0"/>
        <w:rPr/>
      </w:pPr>
      <w:r>
        <w:rPr>
          <w:rFonts w:eastAsia="Times New Roman" w:cs="Times New Roman" w:ascii="Times New Roman" w:hAnsi="Times New Roman"/>
          <w:color w:val="auto"/>
          <w:sz w:val="20"/>
          <w:szCs w:val="20"/>
        </w:rPr>
        <w:t>Kim JJ, Jo EK NLRP3 inflammasome і host protection до bacterial infection. J. Korean Med. Sci., 2013, Vol. 28, no. 10, pp. 1415-1423.</w:t>
      </w:r>
    </w:p>
    <w:p>
      <w:pPr>
        <w:pStyle w:val="Normal"/>
        <w:numPr>
          <w:ilvl w:val="2"/>
          <w:numId w:val="3"/>
        </w:numPr>
        <w:tabs>
          <w:tab w:val="clear" w:pos="720"/>
          <w:tab w:val="left" w:pos="680" w:leader="none"/>
        </w:tabs>
        <w:spacing w:lineRule="auto" w:line="247" w:before="0" w:after="0"/>
        <w:jc w:val="both"/>
        <w:rPr/>
      </w:pPr>
      <w:r>
        <w:rPr>
          <w:rFonts w:eastAsia="Times New Roman" w:cs="Times New Roman" w:ascii="Times New Roman" w:hAnsi="Times New Roman"/>
          <w:color w:val="auto"/>
          <w:sz w:val="19"/>
          <w:szCs w:val="19"/>
        </w:rPr>
        <w:t>Kong KF, Delroux K., Wang X., Qian F., Arjona A., Malawista SE, Fikrig E., Montgomery RR Dysregulation of TLR3 impairs the innate immune response to West Nile virus in the elderly. J. Virol., 2008, Vol. 82, pp. 7613-7623.</w:t>
      </w:r>
    </w:p>
    <w:p>
      <w:pPr>
        <w:pStyle w:val="Normal"/>
        <w:numPr>
          <w:ilvl w:val="2"/>
          <w:numId w:val="3"/>
        </w:numPr>
        <w:tabs>
          <w:tab w:val="clear" w:pos="720"/>
          <w:tab w:val="left" w:pos="680" w:leader="none"/>
        </w:tabs>
        <w:spacing w:lineRule="auto" w:line="235" w:before="0" w:after="0"/>
        <w:rPr/>
      </w:pPr>
      <w:r>
        <w:rPr>
          <w:rFonts w:eastAsia="Times New Roman" w:cs="Times New Roman" w:ascii="Times New Roman" w:hAnsi="Times New Roman"/>
          <w:color w:val="auto"/>
          <w:sz w:val="20"/>
          <w:szCs w:val="20"/>
        </w:rPr>
        <w:t>Latz E., Duewell P. NLRP3 inflammasome activation in inflammaging. Semin. Immunol., 2018, Vol. 40, pp. 61-73.</w:t>
      </w:r>
    </w:p>
    <w:p>
      <w:pPr>
        <w:pStyle w:val="Normal"/>
        <w:numPr>
          <w:ilvl w:val="2"/>
          <w:numId w:val="3"/>
        </w:numPr>
        <w:tabs>
          <w:tab w:val="clear" w:pos="720"/>
          <w:tab w:val="left" w:pos="680" w:leader="none"/>
        </w:tabs>
        <w:spacing w:lineRule="auto" w:line="235" w:before="0" w:after="0"/>
        <w:rPr/>
      </w:pPr>
      <w:r>
        <w:rPr>
          <w:rFonts w:eastAsia="Times New Roman" w:cs="Times New Roman" w:ascii="Times New Roman" w:hAnsi="Times New Roman"/>
          <w:color w:val="auto"/>
          <w:sz w:val="20"/>
          <w:szCs w:val="20"/>
        </w:rPr>
        <w:t>Latz E., Xiao TS, Stutz A. Activation and regulation of inflammasomes. Nat. Rev. Immunol., 2013, Vol. 13, no. 6, pp. 397-411.</w:t>
      </w:r>
    </w:p>
    <w:p>
      <w:pPr>
        <w:pStyle w:val="Normal"/>
        <w:numPr>
          <w:ilvl w:val="2"/>
          <w:numId w:val="3"/>
        </w:numPr>
        <w:tabs>
          <w:tab w:val="clear" w:pos="720"/>
          <w:tab w:val="left" w:pos="680" w:leader="none"/>
        </w:tabs>
        <w:spacing w:lineRule="auto" w:line="235" w:before="0" w:after="0"/>
        <w:rPr/>
      </w:pPr>
      <w:r>
        <w:rPr>
          <w:rFonts w:eastAsia="Times New Roman" w:cs="Times New Roman" w:ascii="Times New Roman" w:hAnsi="Times New Roman"/>
          <w:color w:val="auto"/>
          <w:sz w:val="20"/>
          <w:szCs w:val="20"/>
        </w:rPr>
        <w:t>Liu D., Zeng X., Li X., Mehta JL Wang X. Роль NLRP3 inflammasome в pathogenesis cardiovascular diseases. Basic Res. Cardiol., 2018, Vol. 113, no. 1, 5. doi: 10.1007/s00395-017-0663-9.</w:t>
      </w:r>
    </w:p>
    <w:p>
      <w:pPr>
        <w:pStyle w:val="Normal"/>
        <w:numPr>
          <w:ilvl w:val="2"/>
          <w:numId w:val="3"/>
        </w:numPr>
        <w:tabs>
          <w:tab w:val="clear" w:pos="720"/>
          <w:tab w:val="left" w:pos="680" w:leader="none"/>
        </w:tabs>
        <w:spacing w:lineRule="auto" w:line="235" w:before="0" w:after="0"/>
        <w:rPr/>
      </w:pPr>
      <w:r>
        <w:rPr>
          <w:rFonts w:eastAsia="Times New Roman" w:cs="Times New Roman" w:ascii="Times New Roman" w:hAnsi="Times New Roman"/>
          <w:color w:val="auto"/>
          <w:sz w:val="20"/>
          <w:szCs w:val="20"/>
        </w:rPr>
        <w:t>Liu Y., Chen GY, Zheng P. CD24-Siglec G/10 discriminates danger- від pathogen-associated molecular patterns. Trends Immunol., 2009, Vol. 30, no. 12, pp. 557-561.</w:t>
      </w:r>
    </w:p>
    <w:p>
      <w:pPr>
        <w:pStyle w:val="Normal"/>
        <w:numPr>
          <w:ilvl w:val="2"/>
          <w:numId w:val="3"/>
        </w:numPr>
        <w:tabs>
          <w:tab w:val="clear" w:pos="720"/>
          <w:tab w:val="left" w:pos="680" w:leader="none"/>
        </w:tabs>
        <w:spacing w:lineRule="auto" w:line="235" w:before="0" w:after="0"/>
        <w:jc w:val="both"/>
        <w:rPr/>
      </w:pPr>
      <w:r>
        <w:rPr>
          <w:rFonts w:eastAsia="Times New Roman" w:cs="Times New Roman" w:ascii="Times New Roman" w:hAnsi="Times New Roman"/>
          <w:color w:val="auto"/>
          <w:sz w:val="20"/>
          <w:szCs w:val="20"/>
        </w:rPr>
        <w:t>Lumeng CN, Liu J., Geletka L., Delaney C., DelProposto J., Desai A., Oatmen K., Martinez-Santibanez G., Anabelle J., Garg S., Yung R. Aging is associated with an increase in T cells and inflammatory macrophages in visceral adipose tissue. J. Immunol., 2011, Vol. 187, no. 12, pp. 6208-6216.</w:t>
      </w:r>
    </w:p>
    <w:p>
      <w:pPr>
        <w:pStyle w:val="Normal"/>
        <w:numPr>
          <w:ilvl w:val="2"/>
          <w:numId w:val="3"/>
        </w:numPr>
        <w:tabs>
          <w:tab w:val="clear" w:pos="720"/>
          <w:tab w:val="left" w:pos="680" w:leader="none"/>
        </w:tabs>
        <w:spacing w:lineRule="auto" w:line="235" w:before="0" w:after="0"/>
        <w:jc w:val="both"/>
        <w:rPr/>
      </w:pPr>
      <w:r>
        <w:rPr>
          <w:rFonts w:eastAsia="Times New Roman" w:cs="Times New Roman" w:ascii="Times New Roman" w:hAnsi="Times New Roman"/>
          <w:color w:val="auto"/>
          <w:sz w:val="20"/>
          <w:szCs w:val="20"/>
        </w:rPr>
        <w:t>Mariathasan S., Weiss DS, Newton K., McBride J., O'Rourke K., Roose-Girma M., Lee WP, Weinrauch Y., Monack DM, Dixit VM Cryopyrin застосовує inflammasome у відповідь на токсини та ATP. Nature, 2006, Vol. 440, pp. 228-232.</w:t>
      </w:r>
    </w:p>
    <w:p>
      <w:pPr>
        <w:pStyle w:val="Normal"/>
        <w:numPr>
          <w:ilvl w:val="2"/>
          <w:numId w:val="3"/>
        </w:numPr>
        <w:tabs>
          <w:tab w:val="clear" w:pos="720"/>
          <w:tab w:val="left" w:pos="680" w:leader="none"/>
        </w:tabs>
        <w:spacing w:lineRule="auto" w:line="247" w:before="0" w:after="0"/>
        <w:jc w:val="both"/>
        <w:rPr/>
      </w:pPr>
      <w:r>
        <w:rPr>
          <w:rFonts w:eastAsia="Times New Roman" w:cs="Times New Roman" w:ascii="Times New Roman" w:hAnsi="Times New Roman"/>
          <w:color w:val="auto"/>
          <w:sz w:val="19"/>
          <w:szCs w:val="19"/>
        </w:rPr>
        <w:t>Masters SL, Dunne A., Subramanian SL, Hull RL, Tannahill GM, Sharp FA, Becker C., Franchi L., Yoshihara E., Chen Z., Mullooly N., Mielke LA, Harris J., Coll RC, Mills KH, Mok KH, Newsholme P., Nu˜nez G., Yodoi J., Kahn SE, Lavelle EC, O'Neill La</w:t>
      </w:r>
      <w:r>
        <w:rPr>
          <w:rFonts w:eastAsia="Arial" w:cs="Arial" w:ascii="Arial" w:hAnsi="Arial"/>
          <w:color w:val="auto"/>
          <w:sz w:val="19"/>
          <w:szCs w:val="19"/>
        </w:rPr>
        <w:t>β</w:t>
      </w:r>
      <w:r>
        <w:rPr>
          <w:rFonts w:eastAsia="Times New Roman" w:cs="Times New Roman" w:ascii="Times New Roman" w:hAnsi="Times New Roman"/>
          <w:color w:val="auto"/>
          <w:sz w:val="19"/>
          <w:szCs w:val="19"/>
        </w:rPr>
        <w:t>in type 2 diabetes. Nat. Immunol., 2010, Vol. 11, no. 10, pp. 897-904.</w:t>
      </w:r>
    </w:p>
    <w:p>
      <w:pPr>
        <w:pStyle w:val="Normal"/>
        <w:spacing w:lineRule="exact" w:line="2" w:before="0" w:after="0"/>
        <w:rPr>
          <w:rFonts w:ascii="Times New Roman" w:hAnsi="Times New Roman" w:eastAsia="Times New Roman" w:cs="Times New Roman"/>
          <w:color w:val="auto"/>
          <w:sz w:val="19"/>
          <w:szCs w:val="19"/>
        </w:rPr>
      </w:pPr>
      <w:r>
        <w:rPr>
          <w:rFonts w:eastAsia="Times New Roman" w:cs="Times New Roman" w:ascii="Times New Roman" w:hAnsi="Times New Roman"/>
          <w:color w:val="auto"/>
          <w:sz w:val="19"/>
          <w:szCs w:val="19"/>
        </w:rPr>
      </w:r>
    </w:p>
    <w:p>
      <w:pPr>
        <w:pStyle w:val="Normal"/>
        <w:numPr>
          <w:ilvl w:val="2"/>
          <w:numId w:val="3"/>
        </w:numPr>
        <w:tabs>
          <w:tab w:val="clear" w:pos="720"/>
          <w:tab w:val="left" w:pos="680" w:leader="none"/>
        </w:tabs>
        <w:spacing w:lineRule="auto" w:line="235" w:before="0" w:after="0"/>
        <w:rPr/>
      </w:pPr>
      <w:r>
        <w:rPr>
          <w:rFonts w:eastAsia="Times New Roman" w:cs="Times New Roman" w:ascii="Times New Roman" w:hAnsi="Times New Roman"/>
          <w:color w:val="auto"/>
          <w:sz w:val="20"/>
          <w:szCs w:val="20"/>
        </w:rPr>
        <w:t>Меджітов R. Орігін і фізіологіческіе ролі з inflammation. Nature, 2008, Vol. 454, pp. 428-435.</w:t>
      </w:r>
    </w:p>
    <w:p>
      <w:pPr>
        <w:pStyle w:val="Normal"/>
        <w:numPr>
          <w:ilvl w:val="2"/>
          <w:numId w:val="3"/>
        </w:numPr>
        <w:tabs>
          <w:tab w:val="clear" w:pos="720"/>
          <w:tab w:val="left" w:pos="680" w:leader="none"/>
        </w:tabs>
        <w:spacing w:lineRule="auto" w:line="235" w:before="0" w:after="0"/>
        <w:rPr/>
      </w:pPr>
      <w:r>
        <w:rPr>
          <w:rFonts w:eastAsia="Times New Roman" w:cs="Times New Roman" w:ascii="Times New Roman" w:hAnsi="Times New Roman"/>
          <w:color w:val="auto"/>
          <w:sz w:val="20"/>
          <w:szCs w:val="20"/>
        </w:rPr>
        <w:t>Meier J., Sturm A. Інтернаціональний епітеліальний бар'єр: ніби він не зник? Dig. Dis., 2009, Vol. 27, no. 3, pp. 240-245.</w:t>
      </w:r>
    </w:p>
    <w:p>
      <w:pPr>
        <w:pStyle w:val="Normal"/>
        <w:numPr>
          <w:ilvl w:val="2"/>
          <w:numId w:val="3"/>
        </w:numPr>
        <w:tabs>
          <w:tab w:val="clear" w:pos="720"/>
          <w:tab w:val="left" w:pos="680" w:leader="none"/>
        </w:tabs>
        <w:spacing w:lineRule="auto" w:line="235" w:before="0" w:after="0"/>
        <w:jc w:val="both"/>
        <w:rPr/>
      </w:pPr>
      <w:r>
        <w:rPr>
          <w:rFonts w:eastAsia="Times New Roman" w:cs="Times New Roman" w:ascii="Times New Roman" w:hAnsi="Times New Roman"/>
          <w:color w:val="auto"/>
          <w:sz w:val="20"/>
          <w:szCs w:val="20"/>
        </w:rPr>
        <w:t>Miao EA, Leaf IA, Treuting PM, Mao DP, Dors M., Sarkar A., ​​Warren SE, Wewers MD, Aderem A. Nat. Immunol., 2010, Vol. 11, no. 12, pp. 1136-1142.</w:t>
      </w:r>
    </w:p>
    <w:p>
      <w:pPr>
        <w:pStyle w:val="Normal"/>
        <w:numPr>
          <w:ilvl w:val="2"/>
          <w:numId w:val="3"/>
        </w:numPr>
        <w:tabs>
          <w:tab w:val="clear" w:pos="720"/>
          <w:tab w:val="left" w:pos="680" w:leader="none"/>
        </w:tabs>
        <w:spacing w:lineRule="auto" w:line="247" w:before="0" w:after="0"/>
        <w:jc w:val="both"/>
        <w:rPr/>
      </w:pPr>
      <w:r>
        <w:rPr>
          <w:rFonts w:eastAsia="Times New Roman" w:cs="Times New Roman" w:ascii="Times New Roman" w:hAnsi="Times New Roman"/>
          <w:color w:val="auto"/>
          <w:sz w:val="19"/>
          <w:szCs w:val="19"/>
        </w:rPr>
        <w:t>Michaud M., Balardy L., Moulis G., Gaudin C., Peyrot C., Vellas B., Cesari M., Nourhashemi F. Proinflammatory cytokines, aging, і age-related diseases. J. Am. Med. Dir. Assoc., 2013, Vol. 14, no. 12, pp. 877-882.</w:t>
      </w:r>
    </w:p>
    <w:p>
      <w:pPr>
        <w:pStyle w:val="Normal"/>
        <w:numPr>
          <w:ilvl w:val="2"/>
          <w:numId w:val="3"/>
        </w:numPr>
        <w:tabs>
          <w:tab w:val="clear" w:pos="720"/>
          <w:tab w:val="left" w:pos="680" w:leader="none"/>
        </w:tabs>
        <w:spacing w:lineRule="auto" w:line="235" w:before="0" w:after="0"/>
        <w:rPr/>
      </w:pPr>
      <w:r>
        <w:rPr>
          <w:rFonts w:eastAsia="Times New Roman" w:cs="Times New Roman" w:ascii="Times New Roman" w:hAnsi="Times New Roman"/>
          <w:color w:val="auto"/>
          <w:sz w:val="20"/>
          <w:szCs w:val="20"/>
        </w:rPr>
        <w:t>Miyake K. Innate immune sensing of pathogens and danger signals by cell surface Toll-like receptors. Semin. Immunol., 2007, Vol. 19, no. 1, pp. 3-10.</w:t>
      </w:r>
    </w:p>
    <w:p>
      <w:pPr>
        <w:pStyle w:val="Normal"/>
        <w:numPr>
          <w:ilvl w:val="2"/>
          <w:numId w:val="3"/>
        </w:numPr>
        <w:tabs>
          <w:tab w:val="clear" w:pos="720"/>
          <w:tab w:val="left" w:pos="680" w:leader="none"/>
        </w:tabs>
        <w:spacing w:lineRule="auto" w:line="276" w:before="0" w:after="0"/>
        <w:rPr/>
      </w:pPr>
      <w:r>
        <mc:AlternateContent>
          <mc:Choice Requires="wps">
            <w:drawing>
              <wp:anchor behindDoc="1" distT="0" distB="0" distL="0" distR="0" simplePos="0" locked="0" layoutInCell="1" allowOverlap="1" relativeHeight="6">
                <wp:simplePos x="0" y="0"/>
                <wp:positionH relativeFrom="column">
                  <wp:posOffset>0</wp:posOffset>
                </wp:positionH>
                <wp:positionV relativeFrom="paragraph">
                  <wp:posOffset>83820</wp:posOffset>
                </wp:positionV>
                <wp:extent cx="6085840" cy="3175"/>
                <wp:effectExtent l="0" t="0" r="0" b="0"/>
                <wp:wrapNone/>
                <wp:docPr id="5" name="Shape 23"/>
                <a:graphic xmlns:a="http://schemas.openxmlformats.org/drawingml/2006/main">
                  <a:graphicData uri="http://schemas.microsoft.com/office/word/2010/wordprocessingShape">
                    <wps:wsp>
                      <wps:cNvSpPr/>
                      <wps:spPr>
                        <a:xfrm>
                          <a:off x="0" y="0"/>
                          <a:ext cx="6085080" cy="504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05pt,6.45pt" to="479.05pt,6.8pt" ID="Shape 23" stroked="t" style="position:absolute">
                <v:stroke color="black" weight="6480" joinstyle="miter" endcap="flat"/>
                <v:fill o:detectmouseclick="t" on="false"/>
              </v:line>
            </w:pict>
          </mc:Fallback>
        </mc:AlternateContent>
      </w:r>
      <w:r>
        <w:rPr>
          <w:rFonts w:eastAsia="Times New Roman" w:cs="Times New Roman" w:ascii="Times New Roman" w:hAnsi="Times New Roman"/>
          <w:color w:val="auto"/>
          <w:sz w:val="20"/>
          <w:szCs w:val="20"/>
        </w:rPr>
        <w:t>Mkaddem SB, Bens M., Vandewalle A. Differential activation of Toll-like receptor-mediated apoptosis induced by hypoxia. Oncotarget, 2010, Vol. 1, no. 8, pp. 741-750.</w:t>
      </w:r>
    </w:p>
    <w:p>
      <w:pPr>
        <w:pStyle w:val="Normal"/>
        <w:numPr>
          <w:ilvl w:val="2"/>
          <w:numId w:val="3"/>
        </w:numPr>
        <w:tabs>
          <w:tab w:val="clear" w:pos="720"/>
          <w:tab w:val="left" w:pos="680" w:leader="none"/>
        </w:tabs>
        <w:spacing w:lineRule="auto" w:line="276" w:before="0" w:after="0"/>
        <w:rPr/>
      </w:pPr>
      <w:r>
        <w:rPr>
          <w:rFonts w:eastAsia="Times New Roman" w:cs="Times New Roman" w:ascii="Times New Roman" w:hAnsi="Times New Roman"/>
          <w:color w:val="auto"/>
          <w:sz w:val="20"/>
          <w:szCs w:val="20"/>
        </w:rPr>
        <w:t>Nyugen J., Agrawal S., Gollapudi S., Gupta S. Імперіальні функції з периферійних кровообігу моноцитів subpopulations в людях. J. Clin. Immunol., 2010, Vol. 30, no. 6, pp. 806-813.</w:t>
      </w:r>
    </w:p>
    <w:p>
      <w:pPr>
        <w:sectPr>
          <w:type w:val="continuous"/>
          <w:pgSz w:w="11906" w:h="16838"/>
          <w:pgMar w:left="1191" w:right="1086" w:header="0" w:top="409" w:footer="0" w:bottom="458" w:gutter="0"/>
          <w:formProt w:val="false"/>
          <w:textDirection w:val="lrTb"/>
          <w:docGrid w:type="default" w:linePitch="600" w:charSpace="36864"/>
        </w:sectPr>
      </w:pPr>
    </w:p>
    <w:p>
      <w:pPr>
        <w:pStyle w:val="Normal"/>
        <w:numPr>
          <w:ilvl w:val="1"/>
          <w:numId w:val="4"/>
        </w:numPr>
        <w:tabs>
          <w:tab w:val="clear" w:pos="720"/>
          <w:tab w:val="left" w:pos="680" w:leader="none"/>
        </w:tabs>
        <w:spacing w:lineRule="auto" w:line="235" w:before="0" w:after="0"/>
        <w:rPr/>
      </w:pPr>
      <w:r>
        <w:rPr>
          <w:rFonts w:eastAsia="Times New Roman" w:cs="Times New Roman" w:ascii="Times New Roman" w:hAnsi="Times New Roman"/>
          <w:color w:val="auto"/>
          <w:sz w:val="20"/>
          <w:szCs w:val="20"/>
        </w:rPr>
        <w:t>Okamura Y., Watari M., Jerud ES, Young DW, Ishizaka ST, Rose J., Chow JC, Strauss J. Chem., 2001, Vol. 276, pp. 10229-10233.</w:t>
      </w:r>
    </w:p>
    <w:p>
      <w:pPr>
        <w:pStyle w:val="Normal"/>
        <w:numPr>
          <w:ilvl w:val="1"/>
          <w:numId w:val="4"/>
        </w:numPr>
        <w:tabs>
          <w:tab w:val="clear" w:pos="720"/>
          <w:tab w:val="left" w:pos="680" w:leader="none"/>
        </w:tabs>
        <w:spacing w:lineRule="auto" w:line="228" w:before="0" w:after="0"/>
        <w:rPr/>
      </w:pPr>
      <w:r>
        <w:rPr>
          <w:rFonts w:eastAsia="Times New Roman" w:cs="Times New Roman" w:ascii="Times New Roman" w:hAnsi="Times New Roman"/>
          <w:color w:val="auto"/>
          <w:sz w:val="20"/>
          <w:szCs w:val="20"/>
        </w:rPr>
        <w:t>Palmeri M., Misiano G., Malaguarnera M., Forte GI, Vaccarino L., Milano S., Scola L., Caruso C., Motta M.,</w:t>
      </w:r>
    </w:p>
    <w:p>
      <w:pPr>
        <w:pStyle w:val="Normal"/>
        <w:spacing w:lineRule="auto" w:line="235" w:before="0" w:after="0"/>
        <w:rPr/>
      </w:pPr>
      <w:r>
        <w:rPr>
          <w:rFonts w:eastAsia="Times New Roman" w:cs="Times New Roman" w:ascii="Times New Roman" w:hAnsi="Times New Roman"/>
          <w:color w:val="auto"/>
          <w:sz w:val="20"/>
          <w:szCs w:val="20"/>
        </w:rPr>
        <w:t>Maugeri D., Lio D. Cytokine serum profile у групі Sicilian nonagenarians. J. Immunoassay Immunochem., 2012, Vol. 33, no. 1, pp. 82-90.</w:t>
      </w:r>
    </w:p>
    <w:p>
      <w:pPr>
        <w:pStyle w:val="Normal"/>
        <w:numPr>
          <w:ilvl w:val="1"/>
          <w:numId w:val="4"/>
        </w:numPr>
        <w:tabs>
          <w:tab w:val="clear" w:pos="720"/>
          <w:tab w:val="left" w:pos="680" w:leader="none"/>
        </w:tabs>
        <w:spacing w:lineRule="auto" w:line="235" w:before="0" w:after="0"/>
        <w:jc w:val="both"/>
        <w:rPr/>
      </w:pPr>
      <w:r>
        <w:rPr>
          <w:rFonts w:eastAsia="Times New Roman" w:cs="Times New Roman" w:ascii="Times New Roman" w:hAnsi="Times New Roman"/>
          <w:color w:val="auto"/>
          <w:sz w:val="20"/>
          <w:szCs w:val="20"/>
        </w:rPr>
        <w:t>Panda A., Qian F., Mohanty S., van Duin D., Newman FK, Zhang L., Chen S., Towle V., Belshe RB, Fikrig E., Allore HG, Montgomery RR, Shaw AC Ageassociated decrease in TLR функція у перших людських дендрітичних клітинах хворі на influenza vaccine response. J. Immunol., 2010, Vol. 184, no. 5, pp. 2518-2527.</w:t>
      </w:r>
    </w:p>
    <w:p>
      <w:pPr>
        <w:pStyle w:val="Normal"/>
        <w:numPr>
          <w:ilvl w:val="1"/>
          <w:numId w:val="4"/>
        </w:numPr>
        <w:tabs>
          <w:tab w:val="clear" w:pos="720"/>
          <w:tab w:val="left" w:pos="680" w:leader="none"/>
        </w:tabs>
        <w:spacing w:lineRule="auto" w:line="235" w:before="0" w:after="0"/>
        <w:rPr/>
      </w:pPr>
      <w:r>
        <w:rPr>
          <w:rFonts w:eastAsia="Times New Roman" w:cs="Times New Roman" w:ascii="Times New Roman" w:hAnsi="Times New Roman"/>
          <w:color w:val="auto"/>
          <w:sz w:val="20"/>
          <w:szCs w:val="20"/>
        </w:rPr>
        <w:t>Pandey S., Agrawal DK Immunobiology of Toll-like receptors: emerging trends. Immunol. Cell. Biol., 2006, Vol. 84, no. 4, pp. 333-341.</w:t>
      </w:r>
    </w:p>
    <w:p>
      <w:pPr>
        <w:pStyle w:val="Normal"/>
        <w:numPr>
          <w:ilvl w:val="1"/>
          <w:numId w:val="4"/>
        </w:numPr>
        <w:tabs>
          <w:tab w:val="clear" w:pos="720"/>
          <w:tab w:val="left" w:pos="680" w:leader="none"/>
        </w:tabs>
        <w:spacing w:lineRule="auto" w:line="235" w:before="0" w:after="0"/>
        <w:rPr/>
      </w:pPr>
      <w:r>
        <w:rPr>
          <w:rFonts w:eastAsia="Times New Roman" w:cs="Times New Roman" w:ascii="Times New Roman" w:hAnsi="Times New Roman"/>
          <w:color w:val="auto"/>
          <w:sz w:val="20"/>
          <w:szCs w:val="20"/>
        </w:rPr>
        <w:t>Paulson JC, Kawasaki N. Sialidase inhibitors DAMPen sepsis. Nat. Biotechnol., 2011, Vol. 29, no. 5, pp. 406-407.</w:t>
      </w:r>
    </w:p>
    <w:p>
      <w:pPr>
        <w:pStyle w:val="Normal"/>
        <w:numPr>
          <w:ilvl w:val="1"/>
          <w:numId w:val="4"/>
        </w:numPr>
        <w:tabs>
          <w:tab w:val="clear" w:pos="720"/>
          <w:tab w:val="left" w:pos="680" w:leader="none"/>
        </w:tabs>
        <w:spacing w:lineRule="auto" w:line="235" w:before="0" w:after="0"/>
        <w:rPr/>
      </w:pPr>
      <w:r>
        <w:rPr>
          <w:rFonts w:eastAsia="Times New Roman" w:cs="Times New Roman" w:ascii="Times New Roman" w:hAnsi="Times New Roman"/>
          <w:color w:val="auto"/>
          <w:sz w:val="20"/>
          <w:szCs w:val="20"/>
        </w:rPr>
        <w:t>Puzianowska-Kuźnicka M., Owczarz M., Wieczorowska-Tobis K., Nadrowski P., Chudek J., Slusarczyk P.,</w:t>
      </w:r>
    </w:p>
    <w:p>
      <w:pPr>
        <w:pStyle w:val="Normal"/>
        <w:spacing w:lineRule="auto" w:line="235" w:before="0" w:after="0"/>
        <w:rPr/>
      </w:pPr>
      <w:r>
        <w:rPr>
          <w:rFonts w:eastAsia="Times New Roman" w:cs="Times New Roman" w:ascii="Times New Roman" w:hAnsi="Times New Roman"/>
          <w:color w:val="auto"/>
          <w:sz w:val="20"/>
          <w:szCs w:val="20"/>
        </w:rPr>
        <w:t>Skalska A., Jonas M., Franek E., Mossakowska M. Interleukin-6 і C-реакційний proteín, успішний агінг, і mortality: PolSenior study. Immun. Ageing, 2016, Vol. 13, 21. doi: 10.1186/s12979-016-0076-x.</w:t>
      </w:r>
    </w:p>
    <w:p>
      <w:pPr>
        <w:pStyle w:val="Normal"/>
        <w:numPr>
          <w:ilvl w:val="1"/>
          <w:numId w:val="4"/>
        </w:numPr>
        <w:tabs>
          <w:tab w:val="clear" w:pos="720"/>
          <w:tab w:val="left" w:pos="680" w:leader="none"/>
        </w:tabs>
        <w:spacing w:lineRule="auto" w:line="235" w:before="0" w:after="0"/>
        <w:rPr/>
      </w:pPr>
      <w:r>
        <w:rPr>
          <w:rFonts w:eastAsia="Times New Roman" w:cs="Times New Roman" w:ascii="Times New Roman" w:hAnsi="Times New Roman"/>
          <w:color w:val="auto"/>
          <w:sz w:val="20"/>
          <w:szCs w:val="20"/>
        </w:rPr>
        <w:t>Py BF, Kim MS, Vakifahmetoglu-Norberg H., Yuan J. Deubiquitination of NLRP3 BRCC3 critically regulates inflammasome activity. Mol. Cell, 2013, Vol. 49, no. 2, pp. 331-338.</w:t>
      </w:r>
    </w:p>
    <w:p>
      <w:pPr>
        <w:pStyle w:val="Normal"/>
        <w:numPr>
          <w:ilvl w:val="1"/>
          <w:numId w:val="4"/>
        </w:numPr>
        <w:tabs>
          <w:tab w:val="clear" w:pos="720"/>
          <w:tab w:val="left" w:pos="680" w:leader="none"/>
        </w:tabs>
        <w:spacing w:lineRule="auto" w:line="235" w:before="0" w:after="0"/>
        <w:jc w:val="both"/>
        <w:rPr/>
      </w:pPr>
      <w:r>
        <w:rPr>
          <w:rFonts w:eastAsia="Times New Roman" w:cs="Times New Roman" w:ascii="Times New Roman" w:hAnsi="Times New Roman"/>
          <w:color w:val="auto"/>
          <w:sz w:val="20"/>
          <w:szCs w:val="20"/>
        </w:rPr>
        <w:t>Rajamäki K., Lappalainen J., Oörni K., Välimäki E., Matikainen S., Kovanen PT, Eklund KK Cholesterol криштали активізують NLRP3 inflammasome в людських макросах: a novel link між cholesterol metabolism and infla PLoS ONE, 2010, Vol. 5, no. 7, e11765. doi: 10.1371/journal.pone.0011765.</w:t>
      </w:r>
    </w:p>
    <w:p>
      <w:pPr>
        <w:pStyle w:val="Normal"/>
        <w:numPr>
          <w:ilvl w:val="1"/>
          <w:numId w:val="4"/>
        </w:numPr>
        <w:tabs>
          <w:tab w:val="clear" w:pos="720"/>
          <w:tab w:val="left" w:pos="680" w:leader="none"/>
        </w:tabs>
        <w:spacing w:lineRule="auto" w:line="235" w:before="0" w:after="0"/>
        <w:rPr/>
      </w:pPr>
      <w:r>
        <w:rPr>
          <w:rFonts w:eastAsia="Times New Roman" w:cs="Times New Roman" w:ascii="Times New Roman" w:hAnsi="Times New Roman"/>
          <w:color w:val="auto"/>
          <w:sz w:val="20"/>
          <w:szCs w:val="20"/>
        </w:rPr>
        <w:t>Rock KL, Latz E., Ontiveros F., Kono H. Стерильна inflammatory response. Annu. Rev. Immunol., 2010, Vol 28, pp. 321-342.</w:t>
      </w:r>
    </w:p>
    <w:p>
      <w:pPr>
        <w:pStyle w:val="Normal"/>
        <w:numPr>
          <w:ilvl w:val="1"/>
          <w:numId w:val="4"/>
        </w:numPr>
        <w:tabs>
          <w:tab w:val="clear" w:pos="720"/>
          <w:tab w:val="left" w:pos="680" w:leader="none"/>
        </w:tabs>
        <w:spacing w:lineRule="auto" w:line="235" w:before="0" w:after="0"/>
        <w:jc w:val="both"/>
        <w:rPr/>
      </w:pPr>
      <w:r>
        <w:rPr>
          <w:rFonts w:eastAsia="Times New Roman" w:cs="Times New Roman" w:ascii="Times New Roman" w:hAnsi="Times New Roman"/>
          <w:color w:val="auto"/>
          <w:sz w:val="20"/>
          <w:szCs w:val="20"/>
        </w:rPr>
        <w:t>Roubenoff R., Parise H., Payette HA, Abad LW, d'Agostino R., Jacques PF, Wilson PW, Dinarello CA, Harris TB Cytokines, insulin-like ріст factor 1, sarcopenia, і mortality in very old community-dwelling men and women: Framingham Heart Study. Am. J. Med., 2003, Vol. 115, no. 6, pp. 429-435.</w:t>
      </w:r>
    </w:p>
    <w:p>
      <w:pPr>
        <w:pStyle w:val="Normal"/>
        <w:numPr>
          <w:ilvl w:val="1"/>
          <w:numId w:val="4"/>
        </w:numPr>
        <w:tabs>
          <w:tab w:val="clear" w:pos="720"/>
          <w:tab w:val="left" w:pos="680" w:leader="none"/>
        </w:tabs>
        <w:spacing w:lineRule="auto" w:line="235" w:before="0" w:after="0"/>
        <w:rPr/>
      </w:pPr>
      <w:r>
        <w:rPr>
          <w:rFonts w:eastAsia="Times New Roman" w:cs="Times New Roman" w:ascii="Times New Roman" w:hAnsi="Times New Roman"/>
          <w:color w:val="auto"/>
          <w:sz w:val="20"/>
          <w:szCs w:val="20"/>
        </w:rPr>
        <w:t>Sansoni P., Vescovini R., Fagnoni FF, Akbar A., ​​Arens R., Chiu YL, Cicin-Šain L., Dechanet-Merville J.,</w:t>
      </w:r>
    </w:p>
    <w:p>
      <w:pPr>
        <w:pStyle w:val="Normal"/>
        <w:spacing w:lineRule="auto" w:line="235" w:before="0" w:after="0"/>
        <w:rPr/>
      </w:pPr>
      <w:r>
        <w:rPr>
          <w:rFonts w:eastAsia="Times New Roman" w:cs="Times New Roman" w:ascii="Times New Roman" w:hAnsi="Times New Roman"/>
          <w:color w:val="auto"/>
          <w:sz w:val="20"/>
          <w:szCs w:val="20"/>
        </w:rPr>
        <w:t>Derhovanessian E., Ferrando-Martinez S., Franceschi C., Frasca D., Fulöp T., Furman D., Gkrania-Klotsas E.,</w:t>
      </w:r>
    </w:p>
    <w:p>
      <w:pPr>
        <w:pStyle w:val="Normal"/>
        <w:spacing w:lineRule="auto" w:line="235" w:before="0" w:after="0"/>
        <w:rPr/>
      </w:pPr>
      <w:r>
        <w:rPr>
          <w:rFonts w:eastAsia="Times New Roman" w:cs="Times New Roman" w:ascii="Times New Roman" w:hAnsi="Times New Roman"/>
          <w:color w:val="auto"/>
          <w:sz w:val="20"/>
          <w:szCs w:val="20"/>
        </w:rPr>
        <w:t>Goodrum F., Grubeck-Loebenstein B., Hurme M., Kern F., Lilleri D., López-Botet M., Maier AB, Marandu T.,</w:t>
      </w:r>
    </w:p>
    <w:p>
      <w:pPr>
        <w:pStyle w:val="Normal"/>
        <w:spacing w:lineRule="auto" w:line="235" w:before="0" w:after="0"/>
        <w:rPr/>
      </w:pPr>
      <w:r>
        <w:rPr>
          <w:rFonts w:eastAsia="Times New Roman" w:cs="Times New Roman" w:ascii="Times New Roman" w:hAnsi="Times New Roman"/>
          <w:color w:val="auto"/>
          <w:sz w:val="20"/>
          <w:szCs w:val="20"/>
        </w:rPr>
        <w:t>Marchant A., Matheï C., Moss P., Muntasell A., Remmerswaal EB, Riddell NE, Rothe K., Sauce D., Shin EC,</w:t>
      </w:r>
    </w:p>
    <w:p>
      <w:pPr>
        <w:pStyle w:val="Normal"/>
        <w:spacing w:lineRule="auto" w:line="228" w:before="0" w:after="0"/>
        <w:rPr/>
      </w:pPr>
      <w:r>
        <w:rPr>
          <w:rFonts w:eastAsia="Times New Roman" w:cs="Times New Roman" w:ascii="Times New Roman" w:hAnsi="Times New Roman"/>
          <w:color w:val="auto"/>
          <w:sz w:val="20"/>
          <w:szCs w:val="20"/>
        </w:rPr>
        <w:t>Simanek AM, Smithey MJ, Söderberg-Nauclér C., Solana R., Thomas PG, van Lier R., Pawelec G., Nikolich-</w:t>
      </w:r>
    </w:p>
    <w:p>
      <w:pPr>
        <w:pStyle w:val="Normal"/>
        <w:spacing w:before="0" w:after="0"/>
        <w:rPr/>
      </w:pPr>
      <w:r>
        <w:rPr>
          <w:rFonts w:eastAsia="Times New Roman" w:cs="Times New Roman" w:ascii="Times New Roman" w:hAnsi="Times New Roman"/>
          <w:color w:val="auto"/>
          <w:sz w:val="20"/>
          <w:szCs w:val="20"/>
        </w:rPr>
        <w:t>Zugich J. New advances in CMV and immunosenescence. Exp. Gerontol., 2014, Vol. 55, pp. 54-62.</w:t>
      </w:r>
    </w:p>
    <w:p>
      <w:pPr>
        <w:pStyle w:val="Normal"/>
        <w:numPr>
          <w:ilvl w:val="1"/>
          <w:numId w:val="4"/>
        </w:numPr>
        <w:tabs>
          <w:tab w:val="clear" w:pos="720"/>
          <w:tab w:val="left" w:pos="680" w:leader="none"/>
        </w:tabs>
        <w:spacing w:lineRule="auto" w:line="247" w:before="0" w:after="0"/>
        <w:rPr/>
      </w:pPr>
      <w:r>
        <w:rPr>
          <w:rFonts w:eastAsia="Times New Roman" w:cs="Times New Roman" w:ascii="Times New Roman" w:hAnsi="Times New Roman"/>
          <w:color w:val="auto"/>
          <w:sz w:val="19"/>
          <w:szCs w:val="19"/>
        </w:rPr>
        <w:t>Sansoni P., Vescovini R., Fagnoni F., Biasini C., Zanni F., Zanlari L., Telera A., Lucchini G., Passeri G., Monti D., Franceschi C., Passeri M. The immune system в extreme longevity. Exp. Gerontol., 2008, Vol. 43, no. 2, pp. 61-65.</w:t>
      </w:r>
    </w:p>
    <w:p>
      <w:pPr>
        <w:pStyle w:val="Normal"/>
        <w:spacing w:lineRule="exact" w:line="1" w:before="0" w:after="0"/>
        <w:rPr>
          <w:rFonts w:ascii="Times New Roman" w:hAnsi="Times New Roman" w:eastAsia="Times New Roman" w:cs="Times New Roman"/>
          <w:color w:val="auto"/>
          <w:sz w:val="19"/>
          <w:szCs w:val="19"/>
        </w:rPr>
      </w:pPr>
      <w:r>
        <w:rPr>
          <w:rFonts w:eastAsia="Times New Roman" w:cs="Times New Roman" w:ascii="Times New Roman" w:hAnsi="Times New Roman"/>
          <w:color w:val="auto"/>
          <w:sz w:val="19"/>
          <w:szCs w:val="19"/>
        </w:rPr>
      </w:r>
    </w:p>
    <w:p>
      <w:pPr>
        <w:pStyle w:val="Normal"/>
        <w:numPr>
          <w:ilvl w:val="1"/>
          <w:numId w:val="4"/>
        </w:numPr>
        <w:tabs>
          <w:tab w:val="clear" w:pos="720"/>
          <w:tab w:val="left" w:pos="680" w:leader="none"/>
        </w:tabs>
        <w:spacing w:lineRule="auto" w:line="235" w:before="0" w:after="0"/>
        <w:rPr/>
      </w:pPr>
      <w:r>
        <w:rPr>
          <w:rFonts w:eastAsia="Times New Roman" w:cs="Times New Roman" w:ascii="Times New Roman" w:hAnsi="Times New Roman"/>
          <w:color w:val="auto"/>
          <w:sz w:val="20"/>
          <w:szCs w:val="20"/>
        </w:rPr>
        <w:t>Scheibner KA, Lutz MA, Boodoo S., Fenton MJ, Powell JD, Horton MR Hyaluronan fragments act as endogenous danger signal by engaging TLR2. J. Immunol., 2006, Vol. 177, no. 2, pp. 1272-1281.</w:t>
      </w:r>
    </w:p>
    <w:p>
      <w:pPr>
        <w:pStyle w:val="Normal"/>
        <w:numPr>
          <w:ilvl w:val="1"/>
          <w:numId w:val="4"/>
        </w:numPr>
        <w:tabs>
          <w:tab w:val="clear" w:pos="720"/>
          <w:tab w:val="left" w:pos="680" w:leader="none"/>
        </w:tabs>
        <w:spacing w:lineRule="auto" w:line="235" w:before="0" w:after="0"/>
        <w:rPr/>
      </w:pPr>
      <w:r>
        <w:rPr>
          <w:rFonts w:eastAsia="Times New Roman" w:cs="Times New Roman" w:ascii="Times New Roman" w:hAnsi="Times New Roman"/>
          <w:color w:val="auto"/>
          <w:sz w:val="20"/>
          <w:szCs w:val="20"/>
        </w:rPr>
        <w:t>Schenk S., Saberi M., Olefsky JM Insulin sensitivity: modulation by nutrients and inflammation. J. Clin. Invest., 2008, Vol. 118, no. 9, pp. 2992-3002.</w:t>
      </w:r>
    </w:p>
    <w:p>
      <w:pPr>
        <w:pStyle w:val="Normal"/>
        <w:spacing w:lineRule="exact" w:line="1" w:before="0" w:after="0"/>
        <w:rPr>
          <w:rFonts w:ascii="Times New Roman" w:hAnsi="Times New Roman" w:eastAsia="Times New Roman" w:cs="Times New Roman"/>
          <w:color w:val="auto"/>
          <w:sz w:val="20"/>
          <w:szCs w:val="20"/>
        </w:rPr>
      </w:pPr>
      <w:r>
        <w:rPr>
          <w:rFonts w:eastAsia="Times New Roman" w:cs="Times New Roman" w:ascii="Times New Roman" w:hAnsi="Times New Roman"/>
          <w:color w:val="auto"/>
          <w:sz w:val="20"/>
          <w:szCs w:val="20"/>
        </w:rPr>
      </w:r>
    </w:p>
    <w:p>
      <w:pPr>
        <w:pStyle w:val="Normal"/>
        <w:numPr>
          <w:ilvl w:val="1"/>
          <w:numId w:val="4"/>
        </w:numPr>
        <w:tabs>
          <w:tab w:val="clear" w:pos="720"/>
          <w:tab w:val="left" w:pos="680" w:leader="none"/>
        </w:tabs>
        <w:spacing w:lineRule="auto" w:line="235" w:before="0" w:after="0"/>
        <w:rPr/>
      </w:pPr>
      <w:r>
        <w:rPr>
          <w:rFonts w:eastAsia="Times New Roman" w:cs="Times New Roman" w:ascii="Times New Roman" w:hAnsi="Times New Roman"/>
          <w:color w:val="auto"/>
          <w:sz w:val="20"/>
          <w:szCs w:val="20"/>
        </w:rPr>
        <w:t>Schroder K., Zhou R., Tschopp J. NLRP3 inflammasome: sensor for metabolic danger? Science, 2010, Vol. 327, no. 5963, pp. 296-300.</w:t>
      </w:r>
    </w:p>
    <w:p>
      <w:pPr>
        <w:pStyle w:val="Normal"/>
        <w:numPr>
          <w:ilvl w:val="1"/>
          <w:numId w:val="4"/>
        </w:numPr>
        <w:tabs>
          <w:tab w:val="clear" w:pos="720"/>
          <w:tab w:val="left" w:pos="680" w:leader="none"/>
        </w:tabs>
        <w:spacing w:lineRule="auto" w:line="235" w:before="0" w:after="0"/>
        <w:rPr/>
      </w:pPr>
      <w:r>
        <w:rPr>
          <w:rFonts w:eastAsia="Times New Roman" w:cs="Times New Roman" w:ascii="Times New Roman" w:hAnsi="Times New Roman"/>
          <w:color w:val="auto"/>
          <w:sz w:val="20"/>
          <w:szCs w:val="20"/>
        </w:rPr>
        <w:t>Sepehri1 Z., Kiani Z., Nasiri AA, Kohan F. Toll-like receptor 2 and type 2 diabetes. Cell. Mol. Biol. Lett., 2016, Vol. 21, 2. doi: 10.1186/s11658-016-0002-4.</w:t>
      </w:r>
    </w:p>
    <w:p>
      <w:pPr>
        <w:pStyle w:val="Normal"/>
        <w:numPr>
          <w:ilvl w:val="1"/>
          <w:numId w:val="4"/>
        </w:numPr>
        <w:tabs>
          <w:tab w:val="clear" w:pos="720"/>
          <w:tab w:val="left" w:pos="680" w:leader="none"/>
        </w:tabs>
        <w:spacing w:lineRule="auto" w:line="235" w:before="0" w:after="0"/>
        <w:rPr/>
      </w:pPr>
      <w:r>
        <w:rPr>
          <w:rFonts w:eastAsia="Times New Roman" w:cs="Times New Roman" w:ascii="Times New Roman" w:hAnsi="Times New Roman"/>
          <w:color w:val="auto"/>
          <w:sz w:val="20"/>
          <w:szCs w:val="20"/>
        </w:rPr>
        <w:t>Shin JJ, Lee EK, Park TJ, Kim W. Damage-associated molecular patterns і їх pathological relevance in diabetes mellitus. Ageing Res. Rev., 2015, Vol. 24, Part A, pp. 66-76.</w:t>
      </w:r>
    </w:p>
    <w:p>
      <w:pPr>
        <w:pStyle w:val="Normal"/>
        <w:spacing w:lineRule="exact" w:line="1" w:before="0" w:after="0"/>
        <w:rPr>
          <w:rFonts w:ascii="Times New Roman" w:hAnsi="Times New Roman" w:eastAsia="Times New Roman" w:cs="Times New Roman"/>
          <w:color w:val="auto"/>
          <w:sz w:val="20"/>
          <w:szCs w:val="20"/>
        </w:rPr>
      </w:pPr>
      <w:r>
        <w:rPr>
          <w:rFonts w:eastAsia="Times New Roman" w:cs="Times New Roman" w:ascii="Times New Roman" w:hAnsi="Times New Roman"/>
          <w:color w:val="auto"/>
          <w:sz w:val="20"/>
          <w:szCs w:val="20"/>
        </w:rPr>
      </w:r>
    </w:p>
    <w:p>
      <w:pPr>
        <w:pStyle w:val="Normal"/>
        <w:numPr>
          <w:ilvl w:val="1"/>
          <w:numId w:val="4"/>
        </w:numPr>
        <w:tabs>
          <w:tab w:val="clear" w:pos="720"/>
          <w:tab w:val="left" w:pos="680" w:leader="none"/>
        </w:tabs>
        <w:spacing w:lineRule="auto" w:line="235" w:before="0" w:after="0"/>
        <w:rPr/>
      </w:pPr>
      <w:r>
        <w:rPr>
          <w:rFonts w:eastAsia="Times New Roman" w:cs="Times New Roman" w:ascii="Times New Roman" w:hAnsi="Times New Roman"/>
          <w:color w:val="auto"/>
          <w:sz w:val="20"/>
          <w:szCs w:val="20"/>
        </w:rPr>
        <w:t>Shoelson SE, Lee J., Goldfine AB Inflammation and insulin resistance. J. Clin. Invest., 2006, Vol. 116, no. 7, pp. 1793-1801.</w:t>
      </w:r>
    </w:p>
    <w:p>
      <w:pPr>
        <w:pStyle w:val="Normal"/>
        <w:numPr>
          <w:ilvl w:val="1"/>
          <w:numId w:val="4"/>
        </w:numPr>
        <w:tabs>
          <w:tab w:val="clear" w:pos="720"/>
          <w:tab w:val="left" w:pos="680" w:leader="none"/>
        </w:tabs>
        <w:spacing w:lineRule="auto" w:line="235" w:before="0" w:after="0"/>
        <w:rPr/>
      </w:pPr>
      <w:r>
        <w:rPr>
          <w:rFonts w:eastAsia="Times New Roman" w:cs="Times New Roman" w:ascii="Times New Roman" w:hAnsi="Times New Roman"/>
          <w:color w:val="auto"/>
          <w:sz w:val="20"/>
          <w:szCs w:val="20"/>
        </w:rPr>
        <w:t>Smiley ST, King JA, Hancock WW Fibrinogen stimulates macrophage chemokine secretion через Toll-like receptor 4. J. Immunol., 2001, Vol. 167, no. 5, pp. 2887-2894.</w:t>
      </w:r>
    </w:p>
    <w:p>
      <w:pPr>
        <w:pStyle w:val="Normal"/>
        <w:numPr>
          <w:ilvl w:val="1"/>
          <w:numId w:val="4"/>
        </w:numPr>
        <w:tabs>
          <w:tab w:val="clear" w:pos="720"/>
          <w:tab w:val="left" w:pos="680" w:leader="none"/>
        </w:tabs>
        <w:spacing w:lineRule="auto" w:line="235" w:before="0" w:after="0"/>
        <w:jc w:val="both"/>
        <w:rPr/>
      </w:pPr>
      <w:r>
        <w:rPr>
          <w:rFonts w:eastAsia="Times New Roman" w:cs="Times New Roman" w:ascii="Times New Roman" w:hAnsi="Times New Roman"/>
          <w:color w:val="auto"/>
          <w:sz w:val="20"/>
          <w:szCs w:val="20"/>
        </w:rPr>
        <w:t>Stienstra R., van Diepen JA, Tack CJ, Zaki MH, van de Veerdonk FL, Perera D., Neale GA, Hooiveld GJ, Hijmans A., Vroegrijk I., van den Berg S., Romijn J., Rensen PC, Joosten LA, Netea MG, Kanneganti TD Inflammasomeis є центральним гравцем в індукції обесії та insulin resistance. Proc. Natl. Acad. Sci. USA, 2011, Vol. 108, no. 37, pp. 15324-15329.</w:t>
      </w:r>
    </w:p>
    <w:p>
      <w:pPr>
        <w:pStyle w:val="Normal"/>
        <w:numPr>
          <w:ilvl w:val="1"/>
          <w:numId w:val="4"/>
        </w:numPr>
        <w:tabs>
          <w:tab w:val="clear" w:pos="720"/>
          <w:tab w:val="left" w:pos="680" w:leader="none"/>
        </w:tabs>
        <w:spacing w:lineRule="auto" w:line="235" w:before="0" w:after="0"/>
        <w:rPr/>
      </w:pPr>
      <w:r>
        <w:rPr>
          <w:rFonts w:eastAsia="Times New Roman" w:cs="Times New Roman" w:ascii="Times New Roman" w:hAnsi="Times New Roman"/>
          <w:color w:val="auto"/>
          <w:sz w:val="20"/>
          <w:szCs w:val="20"/>
        </w:rPr>
        <w:t>Su X., Federoff HJ, Maguire-Zeiss KA Mutant alpha-synuclein overexpression mediates early proinflammatory activity. Neurotox. Res., 2009, Vol. 16, no. 3, pp. 238-254.</w:t>
      </w:r>
    </w:p>
    <w:p>
      <w:pPr>
        <w:pStyle w:val="Normal"/>
        <w:numPr>
          <w:ilvl w:val="1"/>
          <w:numId w:val="4"/>
        </w:numPr>
        <w:tabs>
          <w:tab w:val="clear" w:pos="720"/>
          <w:tab w:val="left" w:pos="680" w:leader="none"/>
        </w:tabs>
        <w:spacing w:lineRule="auto" w:line="235" w:before="0" w:after="0"/>
        <w:rPr/>
      </w:pPr>
      <w:r>
        <w:rPr>
          <w:rFonts w:eastAsia="Times New Roman" w:cs="Times New Roman" w:ascii="Times New Roman" w:hAnsi="Times New Roman"/>
          <w:color w:val="auto"/>
          <w:sz w:val="20"/>
          <w:szCs w:val="20"/>
        </w:rPr>
        <w:t>Su X., Maguire-Zeiss KA, Giuliano R., Prifti L., Venkatesh K., Federoff HJ Synuclein activates microglia в моделі Parkinson's disease. Neurobiol. Aging, 2008, Vol. 29, no. 11, pp. 1690-1701.</w:t>
      </w:r>
    </w:p>
    <w:p>
      <w:pPr>
        <w:pStyle w:val="Normal"/>
        <w:numPr>
          <w:ilvl w:val="1"/>
          <w:numId w:val="4"/>
        </w:numPr>
        <w:tabs>
          <w:tab w:val="clear" w:pos="720"/>
          <w:tab w:val="left" w:pos="680" w:leader="none"/>
        </w:tabs>
        <w:spacing w:lineRule="auto" w:line="252" w:before="0" w:after="0"/>
        <w:jc w:val="both"/>
        <w:rPr/>
      </w:pPr>
      <w:r>
        <mc:AlternateContent>
          <mc:Choice Requires="wps">
            <w:drawing>
              <wp:anchor behindDoc="1" distT="0" distB="0" distL="0" distR="0" simplePos="0" locked="0" layoutInCell="1" allowOverlap="1" relativeHeight="5">
                <wp:simplePos x="0" y="0"/>
                <wp:positionH relativeFrom="column">
                  <wp:posOffset>-1905</wp:posOffset>
                </wp:positionH>
                <wp:positionV relativeFrom="paragraph">
                  <wp:posOffset>95250</wp:posOffset>
                </wp:positionV>
                <wp:extent cx="6085840" cy="3175"/>
                <wp:effectExtent l="0" t="0" r="0" b="0"/>
                <wp:wrapNone/>
                <wp:docPr id="6" name="Shape 25"/>
                <a:graphic xmlns:a="http://schemas.openxmlformats.org/drawingml/2006/main">
                  <a:graphicData uri="http://schemas.microsoft.com/office/word/2010/wordprocessingShape">
                    <wps:wsp>
                      <wps:cNvSpPr/>
                      <wps:spPr>
                        <a:xfrm>
                          <a:off x="0" y="0"/>
                          <a:ext cx="6085080" cy="504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2pt,7.35pt" to="478.9pt,7.7pt" ID="Shape 25" stroked="t" style="position:absolute">
                <v:stroke color="black" weight="6480" joinstyle="miter" endcap="flat"/>
                <v:fill o:detectmouseclick="t" on="false"/>
              </v:line>
            </w:pict>
          </mc:Fallback>
        </mc:AlternateContent>
      </w:r>
      <w:r>
        <w:rPr>
          <w:rFonts w:eastAsia="Times New Roman" w:cs="Times New Roman" w:ascii="Times New Roman" w:hAnsi="Times New Roman"/>
          <w:color w:val="auto"/>
          <w:sz w:val="20"/>
          <w:szCs w:val="20"/>
        </w:rPr>
        <w:t>Tang SC, Arumugam TV, Xu X., Cheng A., Mughal MR, Jo DG, Lathia JD, Siler DA, Chigurupati S., Ouyang X., Magnus T., Camandola S., Mattson MP Pivotal role for neuronal Toll- як receptors в ischemic brain injury and functional deficits. Proc. Natl. Acad. Sci. USA., 2007, Vol. 104, no. 34, pp. 13798-13803.</w:t>
      </w:r>
    </w:p>
    <w:p>
      <w:pPr>
        <w:pStyle w:val="Normal"/>
        <w:numPr>
          <w:ilvl w:val="1"/>
          <w:numId w:val="4"/>
        </w:numPr>
        <w:tabs>
          <w:tab w:val="clear" w:pos="720"/>
          <w:tab w:val="left" w:pos="680" w:leader="none"/>
        </w:tabs>
        <w:spacing w:lineRule="auto" w:line="252" w:before="0" w:after="0"/>
        <w:jc w:val="both"/>
        <w:rPr/>
      </w:pPr>
      <w:r>
        <w:rPr>
          <w:rFonts w:eastAsia="Times New Roman" w:cs="Times New Roman" w:ascii="Times New Roman" w:hAnsi="Times New Roman"/>
          <w:color w:val="auto"/>
          <w:sz w:val="20"/>
          <w:szCs w:val="20"/>
        </w:rPr>
        <w:t>Thundyil J., Lim KL. DAMPs and neurodegeneration. Ageing Res. Rev., 2015, Vol. 24, Part A, pp. 17-28.</w:t>
      </w:r>
    </w:p>
    <w:p>
      <w:pPr>
        <w:sectPr>
          <w:type w:val="continuous"/>
          <w:pgSz w:w="11906" w:h="16838"/>
          <w:pgMar w:left="1191" w:right="1086" w:header="0" w:top="409" w:footer="0" w:bottom="458" w:gutter="0"/>
          <w:formProt w:val="false"/>
          <w:textDirection w:val="lrTb"/>
          <w:docGrid w:type="default" w:linePitch="600" w:charSpace="36864"/>
        </w:sectPr>
      </w:pPr>
    </w:p>
    <w:p>
      <w:pPr>
        <w:pStyle w:val="Normal"/>
        <w:numPr>
          <w:ilvl w:val="1"/>
          <w:numId w:val="5"/>
        </w:numPr>
        <w:tabs>
          <w:tab w:val="clear" w:pos="720"/>
          <w:tab w:val="left" w:pos="680" w:leader="none"/>
        </w:tabs>
        <w:spacing w:lineRule="auto" w:line="235" w:before="0" w:after="0"/>
        <w:rPr/>
      </w:pPr>
      <w:r>
        <w:rPr>
          <w:rFonts w:eastAsia="Times New Roman" w:cs="Times New Roman" w:ascii="Times New Roman" w:hAnsi="Times New Roman"/>
          <w:color w:val="auto"/>
          <w:sz w:val="20"/>
          <w:szCs w:val="20"/>
        </w:rPr>
        <w:t>Vabulas RM, Wagner H., Schild H. Heat shock proteins as ligands of toll-like receptors. Curr. Top. Microbiol. Immunol., 2002, Vol. 270, pp. 169-184.</w:t>
      </w:r>
    </w:p>
    <w:p>
      <w:pPr>
        <w:pStyle w:val="Normal"/>
        <w:spacing w:lineRule="exact" w:line="1" w:before="0" w:after="0"/>
        <w:rPr>
          <w:rFonts w:ascii="Times New Roman" w:hAnsi="Times New Roman" w:eastAsia="Times New Roman" w:cs="Times New Roman"/>
          <w:color w:val="auto"/>
          <w:sz w:val="20"/>
          <w:szCs w:val="20"/>
        </w:rPr>
      </w:pPr>
      <w:r>
        <w:rPr>
          <w:rFonts w:eastAsia="Times New Roman" w:cs="Times New Roman" w:ascii="Times New Roman" w:hAnsi="Times New Roman"/>
          <w:color w:val="auto"/>
          <w:sz w:val="20"/>
          <w:szCs w:val="20"/>
        </w:rPr>
      </w:r>
    </w:p>
    <w:p>
      <w:pPr>
        <w:pStyle w:val="Normal"/>
        <w:numPr>
          <w:ilvl w:val="1"/>
          <w:numId w:val="5"/>
        </w:numPr>
        <w:tabs>
          <w:tab w:val="clear" w:pos="720"/>
          <w:tab w:val="left" w:pos="680" w:leader="none"/>
        </w:tabs>
        <w:spacing w:lineRule="auto" w:line="235" w:before="0" w:after="0"/>
        <w:rPr/>
      </w:pPr>
      <w:r>
        <w:rPr>
          <w:rFonts w:eastAsia="Times New Roman" w:cs="Times New Roman" w:ascii="Times New Roman" w:hAnsi="Times New Roman"/>
          <w:color w:val="auto"/>
          <w:sz w:val="20"/>
          <w:szCs w:val="20"/>
        </w:rPr>
        <w:t>van Duin D., Medzhitov R., Shaw AC Triggering TLR signaling in vaccination. Trends Immunol., 2006, Vol. 27, no. 1, pp. 49-55.</w:t>
      </w:r>
    </w:p>
    <w:p>
      <w:pPr>
        <w:pStyle w:val="Normal"/>
        <w:numPr>
          <w:ilvl w:val="1"/>
          <w:numId w:val="5"/>
        </w:numPr>
        <w:tabs>
          <w:tab w:val="clear" w:pos="720"/>
          <w:tab w:val="left" w:pos="680" w:leader="none"/>
        </w:tabs>
        <w:spacing w:lineRule="auto" w:line="228" w:before="0" w:after="0"/>
        <w:rPr/>
      </w:pPr>
      <w:r>
        <w:rPr>
          <w:rFonts w:eastAsia="Times New Roman" w:cs="Times New Roman" w:ascii="Times New Roman" w:hAnsi="Times New Roman"/>
          <w:color w:val="auto"/>
          <w:sz w:val="20"/>
          <w:szCs w:val="20"/>
        </w:rPr>
        <w:t>van Duin D., Mohanty S., Thomas V., Ginter S., Montgomery RR, Fikrig E., Allore HG, Medzhitov R., Shaw AC Age-associated defect in human TLR-1/2 function. J. Immunol., 2007, Vol. 178, no. 2, pp. 970-975.</w:t>
      </w:r>
    </w:p>
    <w:p>
      <w:pPr>
        <w:pStyle w:val="Normal"/>
        <w:numPr>
          <w:ilvl w:val="1"/>
          <w:numId w:val="5"/>
        </w:numPr>
        <w:tabs>
          <w:tab w:val="clear" w:pos="720"/>
          <w:tab w:val="left" w:pos="680" w:leader="none"/>
        </w:tabs>
        <w:spacing w:lineRule="auto" w:line="235" w:before="0" w:after="0"/>
        <w:rPr/>
      </w:pPr>
      <w:r>
        <w:rPr>
          <w:rFonts w:eastAsia="Times New Roman" w:cs="Times New Roman" w:ascii="Times New Roman" w:hAnsi="Times New Roman"/>
          <w:color w:val="auto"/>
          <w:sz w:val="20"/>
          <w:szCs w:val="20"/>
        </w:rPr>
        <w:t>van Duin D., Shaw AC Toll-like receptors in older adults. J. Am. Geriatr. Soc., 2007, Vol. 55, no. 9, pp. 1438-1444.</w:t>
      </w:r>
    </w:p>
    <w:p>
      <w:pPr>
        <w:pStyle w:val="Normal"/>
        <w:numPr>
          <w:ilvl w:val="1"/>
          <w:numId w:val="5"/>
        </w:numPr>
        <w:tabs>
          <w:tab w:val="clear" w:pos="720"/>
          <w:tab w:val="left" w:pos="680" w:leader="none"/>
        </w:tabs>
        <w:spacing w:lineRule="auto" w:line="235" w:before="0" w:after="0"/>
        <w:jc w:val="both"/>
        <w:rPr/>
      </w:pPr>
      <w:r>
        <w:rPr>
          <w:rFonts w:eastAsia="Times New Roman" w:cs="Times New Roman" w:ascii="Times New Roman" w:hAnsi="Times New Roman"/>
          <w:color w:val="auto"/>
          <w:sz w:val="20"/>
          <w:szCs w:val="20"/>
        </w:rPr>
        <w:t>Vandanmagsar B., Youm YH, Ravussin A., Galgani JE, Stadler K., Mynatt RL, Ravussin E., Stephens JM, Dixit VD The NLRP3 inflammasome instigates obesity-induced inflammation and insulin resistance. Nat. Med., 2011, Vol. 17, no. 2, pp. 179-188.</w:t>
      </w:r>
    </w:p>
    <w:p>
      <w:pPr>
        <w:pStyle w:val="Normal"/>
        <w:spacing w:lineRule="exact" w:line="2" w:before="0" w:after="0"/>
        <w:rPr>
          <w:rFonts w:ascii="Times New Roman" w:hAnsi="Times New Roman" w:eastAsia="Times New Roman" w:cs="Times New Roman"/>
          <w:color w:val="auto"/>
          <w:sz w:val="20"/>
          <w:szCs w:val="20"/>
        </w:rPr>
      </w:pPr>
      <w:r>
        <w:rPr>
          <w:rFonts w:eastAsia="Times New Roman" w:cs="Times New Roman" w:ascii="Times New Roman" w:hAnsi="Times New Roman"/>
          <w:color w:val="auto"/>
          <w:sz w:val="20"/>
          <w:szCs w:val="20"/>
        </w:rPr>
      </w:r>
    </w:p>
    <w:p>
      <w:pPr>
        <w:pStyle w:val="Normal"/>
        <w:numPr>
          <w:ilvl w:val="1"/>
          <w:numId w:val="5"/>
        </w:numPr>
        <w:tabs>
          <w:tab w:val="clear" w:pos="720"/>
          <w:tab w:val="left" w:pos="680" w:leader="none"/>
        </w:tabs>
        <w:spacing w:lineRule="auto" w:line="235" w:before="0" w:after="0"/>
        <w:rPr/>
      </w:pPr>
      <w:r>
        <w:rPr>
          <w:rFonts w:eastAsia="Times New Roman" w:cs="Times New Roman" w:ascii="Times New Roman" w:hAnsi="Times New Roman"/>
          <w:color w:val="auto"/>
          <w:sz w:val="20"/>
          <w:szCs w:val="20"/>
        </w:rPr>
        <w:t>Wen H., Gris D., Lei Y., Jha S., Zhang L., Huang М.Т. Nat. Immunol., 2011, Vol. 12, no. 5, pp. 408-415.</w:t>
      </w:r>
    </w:p>
    <w:p>
      <w:pPr>
        <w:pStyle w:val="Normal"/>
        <w:spacing w:lineRule="exact" w:line="1" w:before="0" w:after="0"/>
        <w:rPr>
          <w:rFonts w:ascii="Times New Roman" w:hAnsi="Times New Roman" w:eastAsia="Times New Roman" w:cs="Times New Roman"/>
          <w:color w:val="auto"/>
          <w:sz w:val="20"/>
          <w:szCs w:val="20"/>
        </w:rPr>
      </w:pPr>
      <w:r>
        <w:rPr>
          <w:rFonts w:eastAsia="Times New Roman" w:cs="Times New Roman" w:ascii="Times New Roman" w:hAnsi="Times New Roman"/>
          <w:color w:val="auto"/>
          <w:sz w:val="20"/>
          <w:szCs w:val="20"/>
        </w:rPr>
      </w:r>
    </w:p>
    <w:p>
      <w:pPr>
        <w:pStyle w:val="Normal"/>
        <w:numPr>
          <w:ilvl w:val="1"/>
          <w:numId w:val="5"/>
        </w:numPr>
        <w:tabs>
          <w:tab w:val="clear" w:pos="720"/>
          <w:tab w:val="left" w:pos="680" w:leader="none"/>
        </w:tabs>
        <w:spacing w:lineRule="auto" w:line="235" w:before="0" w:after="0"/>
        <w:jc w:val="both"/>
        <w:rPr/>
      </w:pPr>
      <w:r>
        <w:rPr>
          <w:rFonts w:eastAsia="Times New Roman" w:cs="Times New Roman" w:ascii="Times New Roman" w:hAnsi="Times New Roman"/>
          <w:color w:val="auto"/>
          <w:sz w:val="20"/>
          <w:szCs w:val="20"/>
        </w:rPr>
        <w:t>Yamasaki K., Muto J., Taylor KR, Cogen AL, Audish D., Bertin J., Grant EP, Coyle AJ, Misaghi A., Hoffman HM, Gallo RL NLRP3/cryopyrin необхідний для interleukin-1beta (IL-1beta ) release in response to hyaluronan, endogenous trigger of inflammation in response to injury. J. Biol. Chem., 2009, Vol. 284, pp. 12762-12771.</w:t>
      </w:r>
    </w:p>
    <w:p>
      <w:pPr>
        <w:pStyle w:val="Normal"/>
        <w:numPr>
          <w:ilvl w:val="1"/>
          <w:numId w:val="5"/>
        </w:numPr>
        <w:tabs>
          <w:tab w:val="clear" w:pos="720"/>
          <w:tab w:val="left" w:pos="680" w:leader="none"/>
        </w:tabs>
        <w:spacing w:lineRule="auto" w:line="235" w:before="0" w:after="0"/>
        <w:rPr/>
      </w:pPr>
      <w:r>
        <w:rPr>
          <w:rFonts w:eastAsia="Times New Roman" w:cs="Times New Roman" w:ascii="Times New Roman" w:hAnsi="Times New Roman"/>
          <w:color w:val="auto"/>
          <w:sz w:val="20"/>
          <w:szCs w:val="20"/>
        </w:rPr>
        <w:t>Yu L., Wang L., Chen S. Endogenous Toll-like receptor ligands and their biological significance. J. Cell. Mol. Med., 2010, Vol. 14, no. 11, pp. 2592-2603.</w:t>
      </w:r>
    </w:p>
    <w:p>
      <w:pPr>
        <w:pStyle w:val="Normal"/>
        <w:numPr>
          <w:ilvl w:val="1"/>
          <w:numId w:val="5"/>
        </w:numPr>
        <w:tabs>
          <w:tab w:val="clear" w:pos="720"/>
          <w:tab w:val="left" w:pos="680" w:leader="none"/>
        </w:tabs>
        <w:spacing w:lineRule="auto" w:line="235" w:before="0" w:after="0"/>
        <w:rPr/>
      </w:pPr>
      <w:r>
        <w:rPr>
          <w:rFonts w:eastAsia="Times New Roman" w:cs="Times New Roman" w:ascii="Times New Roman" w:hAnsi="Times New Roman"/>
          <w:color w:val="auto"/>
          <w:sz w:val="20"/>
          <w:szCs w:val="20"/>
        </w:rPr>
        <w:t>Yu M., Wang H., Ding A., Golenbock DT, Latz E., Czura CJ, Fenton MJ, Tracey KJ, Yang H. HMGB1 сигнали через Toll-like receptor (TLR) 4 і TLR2. Shock, 2006, Vol. 26, no. 2, pp. 174-179.</w:t>
      </w:r>
    </w:p>
    <w:p>
      <w:pPr>
        <w:pStyle w:val="Normal"/>
        <w:spacing w:lineRule="exact" w:line="1" w:before="0" w:after="0"/>
        <w:rPr>
          <w:rFonts w:ascii="Times New Roman" w:hAnsi="Times New Roman" w:eastAsia="Times New Roman" w:cs="Times New Roman"/>
          <w:color w:val="auto"/>
          <w:sz w:val="20"/>
          <w:szCs w:val="20"/>
        </w:rPr>
      </w:pPr>
      <w:r>
        <w:rPr>
          <w:rFonts w:eastAsia="Times New Roman" w:cs="Times New Roman" w:ascii="Times New Roman" w:hAnsi="Times New Roman"/>
          <w:color w:val="auto"/>
          <w:sz w:val="20"/>
          <w:szCs w:val="20"/>
        </w:rPr>
      </w:r>
    </w:p>
    <w:p>
      <w:pPr>
        <w:pStyle w:val="Normal"/>
        <w:numPr>
          <w:ilvl w:val="1"/>
          <w:numId w:val="5"/>
        </w:numPr>
        <w:tabs>
          <w:tab w:val="clear" w:pos="720"/>
          <w:tab w:val="left" w:pos="680" w:leader="none"/>
        </w:tabs>
        <w:spacing w:lineRule="auto" w:line="235" w:before="0" w:after="0"/>
        <w:rPr/>
      </w:pPr>
      <w:r>
        <mc:AlternateContent>
          <mc:Choice Requires="wps">
            <w:drawing>
              <wp:anchor behindDoc="1" distT="0" distB="0" distL="0" distR="0" simplePos="0" locked="0" layoutInCell="1" allowOverlap="1" relativeHeight="2">
                <wp:simplePos x="0" y="0"/>
                <wp:positionH relativeFrom="column">
                  <wp:posOffset>0</wp:posOffset>
                </wp:positionH>
                <wp:positionV relativeFrom="paragraph">
                  <wp:posOffset>3058795</wp:posOffset>
                </wp:positionV>
                <wp:extent cx="6073140" cy="3175"/>
                <wp:effectExtent l="0" t="0" r="0" b="0"/>
                <wp:wrapNone/>
                <wp:docPr id="7" name="Shape 26"/>
                <a:graphic xmlns:a="http://schemas.openxmlformats.org/drawingml/2006/main">
                  <a:graphicData uri="http://schemas.microsoft.com/office/word/2010/wordprocessingShape">
                    <wps:wsp>
                      <wps:cNvSpPr/>
                      <wps:spPr>
                        <a:xfrm>
                          <a:off x="0" y="0"/>
                          <a:ext cx="6072480" cy="396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0.05pt,240.7pt" to="478.05pt,240.95pt" ID="Shape 26" stroked="t" style="position:absolute">
                <v:stroke color="black" weight="6480" joinstyle="miter" endcap="flat"/>
                <v:fill o:detectmouseclick="t" on="false"/>
              </v:line>
            </w:pict>
          </mc:Fallback>
        </mc:AlternateContent>
      </w:r>
      <w:r>
        <w:rPr>
          <w:rFonts w:eastAsia="Times New Roman" w:cs="Times New Roman" w:ascii="Times New Roman" w:hAnsi="Times New Roman"/>
          <w:color w:val="auto"/>
          <w:sz w:val="20"/>
          <w:szCs w:val="20"/>
        </w:rPr>
        <w:t>Zamboni M., Rossi AP, Fantin F., Zamboni G., Chirumbolo S., Zoico E., Mazzali G. Adipose tissue, diet and aging. Mech. Ageing Dev., 2014, Vol. 136-137, pp. 129-137.</w:t>
      </w:r>
    </w:p>
    <w:p>
      <w:pPr>
        <w:pStyle w:val="Normal"/>
        <w:numPr>
          <w:ilvl w:val="1"/>
          <w:numId w:val="5"/>
        </w:numPr>
        <w:tabs>
          <w:tab w:val="clear" w:pos="720"/>
          <w:tab w:val="left" w:pos="680" w:leader="none"/>
        </w:tabs>
        <w:spacing w:lineRule="auto" w:line="235" w:before="0" w:after="0"/>
        <w:rPr/>
      </w:pPr>
      <w:r>
        <w:rPr>
          <w:rFonts w:eastAsia="Times New Roman" w:cs="Times New Roman" w:ascii="Times New Roman" w:hAnsi="Times New Roman"/>
          <w:color w:val="auto"/>
          <w:sz w:val="20"/>
          <w:szCs w:val="20"/>
        </w:rPr>
        <w:t>Zhou R., Tardivel A., Thorens B., Choi I., Tschopp J. Thioredoxin-interacting protein links oxidative stress до inflammasome activation. Nat. Immunol., 2010, Vol. 11, no. 2, pp. 136-140.</w:t>
      </w:r>
    </w:p>
    <w:p>
      <w:pPr>
        <w:pStyle w:val="Normal"/>
        <w:tabs>
          <w:tab w:val="clear" w:pos="720"/>
          <w:tab w:val="left" w:pos="680" w:leader="none"/>
        </w:tabs>
        <w:spacing w:lineRule="auto" w:line="235" w:before="0" w:after="0"/>
        <w:rPr>
          <w:rFonts w:ascii="Times New Roman" w:hAnsi="Times New Roman" w:eastAsia="Times New Roman" w:cs="Times New Roman"/>
          <w:i/>
          <w:i/>
          <w:iCs/>
          <w:color w:val="auto"/>
          <w:sz w:val="20"/>
          <w:szCs w:val="20"/>
        </w:rPr>
      </w:pPr>
      <w:r>
        <w:rPr>
          <w:rFonts w:eastAsia="Times New Roman" w:cs="Times New Roman" w:ascii="Times New Roman" w:hAnsi="Times New Roman"/>
          <w:i/>
          <w:iCs/>
          <w:color w:val="auto"/>
          <w:sz w:val="20"/>
          <w:szCs w:val="20"/>
        </w:rPr>
      </w:r>
    </w:p>
    <w:p>
      <w:pPr>
        <w:pStyle w:val="Normal"/>
        <w:tabs>
          <w:tab w:val="clear" w:pos="720"/>
          <w:tab w:val="left" w:pos="680" w:leader="none"/>
        </w:tabs>
        <w:spacing w:lineRule="auto" w:line="235" w:before="0" w:after="0"/>
        <w:rPr>
          <w:rFonts w:ascii="Times New Roman" w:hAnsi="Times New Roman" w:eastAsia="Times New Roman" w:cs="Times New Roman"/>
          <w:i/>
          <w:i/>
          <w:iCs/>
          <w:color w:val="auto"/>
          <w:sz w:val="20"/>
          <w:szCs w:val="20"/>
        </w:rPr>
      </w:pPr>
      <w:r>
        <w:rPr>
          <w:rFonts w:eastAsia="Times New Roman" w:cs="Times New Roman" w:ascii="Times New Roman" w:hAnsi="Times New Roman"/>
          <w:i/>
          <w:iCs/>
          <w:color w:val="auto"/>
          <w:sz w:val="20"/>
          <w:szCs w:val="20"/>
        </w:rPr>
      </w:r>
      <w:r>
        <w:br w:type="page"/>
      </w:r>
    </w:p>
    <w:p>
      <w:pPr>
        <w:pStyle w:val="Normal"/>
        <w:tabs>
          <w:tab w:val="clear" w:pos="720"/>
          <w:tab w:val="left" w:pos="680" w:leader="none"/>
        </w:tabs>
        <w:spacing w:lineRule="auto" w:line="235" w:before="0" w:after="0"/>
        <w:rPr>
          <w:rFonts w:ascii="Times New Roman" w:hAnsi="Times New Roman" w:eastAsia="Times New Roman" w:cs="Times New Roman"/>
          <w:i/>
          <w:i/>
          <w:iCs/>
          <w:color w:val="auto"/>
          <w:sz w:val="20"/>
          <w:szCs w:val="20"/>
        </w:rPr>
      </w:pPr>
      <w:r>
        <w:rPr>
          <w:rFonts w:eastAsia="Times New Roman" w:cs="Times New Roman" w:ascii="Times New Roman" w:hAnsi="Times New Roman"/>
          <w:i/>
          <w:iCs/>
          <w:color w:val="auto"/>
          <w:sz w:val="20"/>
          <w:szCs w:val="20"/>
        </w:rPr>
      </w:r>
    </w:p>
    <w:p>
      <w:pPr>
        <w:pStyle w:val="Normal"/>
        <w:tabs>
          <w:tab w:val="clear" w:pos="720"/>
          <w:tab w:val="left" w:pos="680" w:leader="none"/>
        </w:tabs>
        <w:spacing w:lineRule="auto" w:line="235" w:before="0" w:after="0"/>
        <w:rPr>
          <w:rFonts w:ascii="Times New Roman" w:hAnsi="Times New Roman" w:eastAsia="Times New Roman" w:cs="Times New Roman"/>
          <w:i/>
          <w:i/>
          <w:iCs/>
          <w:color w:val="auto"/>
          <w:sz w:val="20"/>
          <w:szCs w:val="20"/>
        </w:rPr>
      </w:pPr>
      <w:r>
        <w:rPr>
          <w:rFonts w:eastAsia="Times New Roman" w:cs="Times New Roman" w:ascii="Times New Roman" w:hAnsi="Times New Roman"/>
          <w:i/>
          <w:iCs/>
          <w:color w:val="auto"/>
          <w:sz w:val="20"/>
          <w:szCs w:val="20"/>
        </w:rPr>
        <w:drawing>
          <wp:anchor behindDoc="0" distT="0" distB="0" distL="0" distR="0" simplePos="0" locked="0" layoutInCell="1" allowOverlap="1" relativeHeight="10">
            <wp:simplePos x="0" y="0"/>
            <wp:positionH relativeFrom="column">
              <wp:posOffset>899795</wp:posOffset>
            </wp:positionH>
            <wp:positionV relativeFrom="paragraph">
              <wp:posOffset>88900</wp:posOffset>
            </wp:positionV>
            <wp:extent cx="3704590" cy="2201545"/>
            <wp:effectExtent l="0" t="0" r="0" b="0"/>
            <wp:wrapSquare wrapText="largest"/>
            <wp:docPr id="8"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2" descr=""/>
                    <pic:cNvPicPr>
                      <a:picLocks noChangeAspect="1" noChangeArrowheads="1"/>
                    </pic:cNvPicPr>
                  </pic:nvPicPr>
                  <pic:blipFill>
                    <a:blip r:embed="rId2"/>
                    <a:srcRect l="28219" t="18262" r="11191" b="17672"/>
                    <a:stretch>
                      <a:fillRect/>
                    </a:stretch>
                  </pic:blipFill>
                  <pic:spPr bwMode="auto">
                    <a:xfrm>
                      <a:off x="0" y="0"/>
                      <a:ext cx="3704590" cy="2201545"/>
                    </a:xfrm>
                    <a:prstGeom prst="rect">
                      <a:avLst/>
                    </a:prstGeom>
                  </pic:spPr>
                </pic:pic>
              </a:graphicData>
            </a:graphic>
          </wp:anchor>
        </w:drawing>
      </w:r>
    </w:p>
    <w:p>
      <w:pPr>
        <w:pStyle w:val="Normal"/>
        <w:tabs>
          <w:tab w:val="clear" w:pos="720"/>
          <w:tab w:val="left" w:pos="680" w:leader="none"/>
        </w:tabs>
        <w:spacing w:lineRule="auto" w:line="235" w:before="0" w:after="0"/>
        <w:rPr>
          <w:rFonts w:ascii="Times New Roman" w:hAnsi="Times New Roman" w:eastAsia="Times New Roman" w:cs="Times New Roman"/>
          <w:i/>
          <w:i/>
          <w:iCs/>
          <w:color w:val="auto"/>
          <w:sz w:val="20"/>
          <w:szCs w:val="20"/>
        </w:rPr>
      </w:pPr>
      <w:r>
        <w:rPr>
          <w:rFonts w:eastAsia="Times New Roman" w:cs="Times New Roman" w:ascii="Times New Roman" w:hAnsi="Times New Roman"/>
          <w:i/>
          <w:iCs/>
          <w:color w:val="auto"/>
          <w:sz w:val="20"/>
          <w:szCs w:val="20"/>
        </w:rPr>
      </w:r>
    </w:p>
    <w:p>
      <w:pPr>
        <w:pStyle w:val="Normal"/>
        <w:tabs>
          <w:tab w:val="clear" w:pos="720"/>
          <w:tab w:val="left" w:pos="680" w:leader="none"/>
        </w:tabs>
        <w:spacing w:lineRule="auto" w:line="235" w:before="0" w:after="0"/>
        <w:rPr>
          <w:rFonts w:ascii="Times New Roman" w:hAnsi="Times New Roman" w:eastAsia="Times New Roman" w:cs="Times New Roman"/>
          <w:i/>
          <w:i/>
          <w:iCs/>
          <w:color w:val="auto"/>
          <w:sz w:val="20"/>
          <w:szCs w:val="20"/>
        </w:rPr>
      </w:pPr>
      <w:r>
        <w:rPr>
          <w:rFonts w:eastAsia="Times New Roman" w:cs="Times New Roman" w:ascii="Times New Roman" w:hAnsi="Times New Roman"/>
          <w:i/>
          <w:iCs/>
          <w:color w:val="auto"/>
          <w:sz w:val="20"/>
          <w:szCs w:val="20"/>
        </w:rPr>
      </w:r>
      <w:r>
        <w:br w:type="page"/>
      </w:r>
    </w:p>
    <w:p>
      <w:pPr>
        <w:pStyle w:val="Normal"/>
        <w:tabs>
          <w:tab w:val="clear" w:pos="720"/>
          <w:tab w:val="left" w:pos="680" w:leader="none"/>
        </w:tabs>
        <w:spacing w:lineRule="auto" w:line="235" w:before="0" w:after="0"/>
        <w:rPr>
          <w:rFonts w:ascii="Times New Roman" w:hAnsi="Times New Roman" w:eastAsia="Times New Roman" w:cs="Times New Roman"/>
          <w:i/>
          <w:i/>
          <w:iCs/>
          <w:color w:val="auto"/>
          <w:sz w:val="20"/>
          <w:szCs w:val="20"/>
        </w:rPr>
      </w:pPr>
      <w:r>
        <w:rPr>
          <w:rFonts w:eastAsia="Times New Roman" w:cs="Times New Roman" w:ascii="Times New Roman" w:hAnsi="Times New Roman"/>
          <w:i/>
          <w:iCs/>
          <w:color w:val="auto"/>
          <w:sz w:val="20"/>
          <w:szCs w:val="20"/>
        </w:rPr>
      </w:r>
    </w:p>
    <w:p>
      <w:pPr>
        <w:pStyle w:val="Normal"/>
        <w:tabs>
          <w:tab w:val="clear" w:pos="720"/>
          <w:tab w:val="left" w:pos="680" w:leader="none"/>
        </w:tabs>
        <w:spacing w:lineRule="auto" w:line="235" w:before="0" w:after="0"/>
        <w:rPr>
          <w:rFonts w:ascii="Times New Roman" w:hAnsi="Times New Roman" w:eastAsia="Times New Roman" w:cs="Times New Roman"/>
          <w:i/>
          <w:i/>
          <w:iCs/>
          <w:color w:val="auto"/>
          <w:sz w:val="20"/>
          <w:szCs w:val="20"/>
        </w:rPr>
      </w:pPr>
      <w:r>
        <w:rPr>
          <w:rFonts w:eastAsia="Times New Roman" w:cs="Times New Roman" w:ascii="Times New Roman" w:hAnsi="Times New Roman"/>
          <w:i/>
          <w:iCs/>
          <w:color w:val="auto"/>
          <w:sz w:val="20"/>
          <w:szCs w:val="20"/>
        </w:rPr>
        <w:drawing>
          <wp:anchor behindDoc="0" distT="0" distB="0" distL="0" distR="0" simplePos="0" locked="0" layoutInCell="1" allowOverlap="1" relativeHeight="9">
            <wp:simplePos x="0" y="0"/>
            <wp:positionH relativeFrom="column">
              <wp:posOffset>1815465</wp:posOffset>
            </wp:positionH>
            <wp:positionV relativeFrom="paragraph">
              <wp:posOffset>708660</wp:posOffset>
            </wp:positionV>
            <wp:extent cx="3635375" cy="2238375"/>
            <wp:effectExtent l="0" t="0" r="0" b="0"/>
            <wp:wrapSquare wrapText="largest"/>
            <wp:docPr id="9"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1" descr=""/>
                    <pic:cNvPicPr>
                      <a:picLocks noChangeAspect="1" noChangeArrowheads="1"/>
                    </pic:cNvPicPr>
                  </pic:nvPicPr>
                  <pic:blipFill>
                    <a:blip r:embed="rId3"/>
                    <a:srcRect l="29693" t="20600" r="10848" b="14281"/>
                    <a:stretch>
                      <a:fillRect/>
                    </a:stretch>
                  </pic:blipFill>
                  <pic:spPr bwMode="auto">
                    <a:xfrm>
                      <a:off x="0" y="0"/>
                      <a:ext cx="3635375" cy="2238375"/>
                    </a:xfrm>
                    <a:prstGeom prst="rect">
                      <a:avLst/>
                    </a:prstGeom>
                  </pic:spPr>
                </pic:pic>
              </a:graphicData>
            </a:graphic>
          </wp:anchor>
        </w:drawing>
      </w:r>
      <w:r>
        <w:br w:type="page"/>
      </w:r>
    </w:p>
    <w:p>
      <w:pPr>
        <w:pStyle w:val="Normal"/>
        <w:tabs>
          <w:tab w:val="clear" w:pos="720"/>
          <w:tab w:val="left" w:pos="680" w:leader="none"/>
        </w:tabs>
        <w:spacing w:lineRule="auto" w:line="235" w:before="0" w:after="0"/>
        <w:rPr/>
      </w:pPr>
      <w:r>
        <w:rPr/>
        <w:drawing>
          <wp:anchor behindDoc="0" distT="0" distB="0" distL="0" distR="0" simplePos="0" locked="0" layoutInCell="1" allowOverlap="1" relativeHeight="11">
            <wp:simplePos x="0" y="0"/>
            <wp:positionH relativeFrom="column">
              <wp:posOffset>1788795</wp:posOffset>
            </wp:positionH>
            <wp:positionV relativeFrom="paragraph">
              <wp:posOffset>471805</wp:posOffset>
            </wp:positionV>
            <wp:extent cx="3614420" cy="2217420"/>
            <wp:effectExtent l="0" t="0" r="0" b="0"/>
            <wp:wrapSquare wrapText="largest"/>
            <wp:docPr id="10"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3" descr=""/>
                    <pic:cNvPicPr>
                      <a:picLocks noChangeAspect="1" noChangeArrowheads="1"/>
                    </pic:cNvPicPr>
                  </pic:nvPicPr>
                  <pic:blipFill>
                    <a:blip r:embed="rId4"/>
                    <a:srcRect l="29254" t="17967" r="11629" b="17519"/>
                    <a:stretch>
                      <a:fillRect/>
                    </a:stretch>
                  </pic:blipFill>
                  <pic:spPr bwMode="auto">
                    <a:xfrm>
                      <a:off x="0" y="0"/>
                      <a:ext cx="3614420" cy="2217420"/>
                    </a:xfrm>
                    <a:prstGeom prst="rect">
                      <a:avLst/>
                    </a:prstGeom>
                  </pic:spPr>
                </pic:pic>
              </a:graphicData>
            </a:graphic>
          </wp:anchor>
        </w:drawing>
      </w:r>
    </w:p>
    <w:sectPr>
      <w:type w:val="continuous"/>
      <w:pgSz w:w="11906" w:h="16838"/>
      <w:pgMar w:left="1191" w:right="1086" w:header="0" w:top="409" w:footer="0" w:bottom="458" w:gutter="0"/>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Roboto">
    <w:charset w:val="cc"/>
    <w:family w:val="roman"/>
    <w:pitch w:val="variable"/>
  </w:font>
  <w:font w:name="Liberation Sans">
    <w:altName w:val="Arial"/>
    <w:charset w:val="cc"/>
    <w:family w:val="roman"/>
    <w:pitch w:val="variable"/>
  </w:font>
  <w:font w:name="Arial">
    <w:charset w:val="cc"/>
    <w:family w:val="roman"/>
    <w:pitch w:val="variable"/>
  </w:font>
  <w:font w:name="Arial Narrow">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0" w:hanging="0"/>
      </w:pPr>
    </w:lvl>
    <w:lvl w:ilvl="1">
      <w:start w:val="1"/>
      <w:numFmt w:val="decimal"/>
      <w:lvlText w:val="%2."/>
      <w:lvlJc w:val="left"/>
      <w:pPr>
        <w:ind w:left="0" w:hanging="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lowerLetter"/>
      <w:lvlText w:val="%1"/>
      <w:lvlJc w:val="left"/>
      <w:pPr>
        <w:ind w:left="0" w:hanging="0"/>
      </w:pPr>
    </w:lvl>
    <w:lvl w:ilvl="1">
      <w:start w:val="7"/>
      <w:numFmt w:val="decimal"/>
      <w:lvlText w:val="%2."/>
      <w:lvlJc w:val="left"/>
      <w:pPr>
        <w:ind w:left="0" w:hanging="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lowerLetter"/>
      <w:lvlText w:val="%1"/>
      <w:lvlJc w:val="left"/>
      <w:pPr>
        <w:ind w:left="0" w:hanging="0"/>
      </w:pPr>
    </w:lvl>
    <w:lvl w:ilvl="1">
      <w:start w:val="1"/>
      <w:numFmt w:val="lowerLetter"/>
      <w:lvlText w:val="%2"/>
      <w:lvlJc w:val="left"/>
      <w:pPr>
        <w:ind w:left="0" w:hanging="0"/>
      </w:pPr>
    </w:lvl>
    <w:lvl w:ilvl="2">
      <w:start w:val="32"/>
      <w:numFmt w:val="decimal"/>
      <w:lvlText w:val="%3."/>
      <w:lvlJc w:val="left"/>
      <w:pPr>
        <w:ind w:left="0" w:hanging="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lowerLetter"/>
      <w:lvlText w:val="%1"/>
      <w:lvlJc w:val="left"/>
      <w:pPr>
        <w:ind w:left="0" w:hanging="0"/>
      </w:pPr>
    </w:lvl>
    <w:lvl w:ilvl="1">
      <w:start w:val="58"/>
      <w:numFmt w:val="decimal"/>
      <w:lvlText w:val="%2."/>
      <w:lvlJc w:val="left"/>
      <w:pPr>
        <w:ind w:left="0" w:hanging="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lowerLetter"/>
      <w:lvlText w:val="%1"/>
      <w:lvlJc w:val="left"/>
      <w:pPr>
        <w:ind w:left="0" w:hanging="0"/>
      </w:pPr>
    </w:lvl>
    <w:lvl w:ilvl="1">
      <w:start w:val="82"/>
      <w:numFmt w:val="decimal"/>
      <w:lvlText w:val="%2."/>
      <w:lvlJc w:val="left"/>
      <w:pPr>
        <w:ind w:left="0" w:hanging="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1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Mangal" w:eastAsiaTheme="minorEastAsia"/>
        <w:szCs w:val="22"/>
        <w:lang w:val="ru-RU"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Calibri" w:hAnsi="Calibri" w:eastAsia="" w:cs="Mangal" w:eastAsiaTheme="minorEastAsia"/>
      <w:color w:val="auto"/>
      <w:kern w:val="0"/>
      <w:sz w:val="22"/>
      <w:szCs w:val="22"/>
      <w:lang w:val="ru-RU" w:eastAsia="zh-CN" w:bidi="hi-IN"/>
    </w:rPr>
  </w:style>
  <w:style w:type="character" w:styleId="DefaultParagraphFont" w:default="1">
    <w:name w:val="Default Paragraph Font"/>
    <w:uiPriority w:val="1"/>
    <w:semiHidden/>
    <w:unhideWhenUsed/>
    <w:qFormat/>
    <w:rPr/>
  </w:style>
  <w:style w:type="character" w:styleId="ListLabel1">
    <w:name w:val="ListLabel 1"/>
    <w:qFormat/>
    <w:rPr>
      <w:rFonts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ascii="Times New Roman" w:hAnsi="Times New Roman" w:cs="OpenSymbol"/>
      <w:sz w:val="20"/>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ascii="Times New Roman" w:hAnsi="Times New Roman" w:cs="OpenSymbol"/>
      <w:sz w:val="20"/>
    </w:rPr>
  </w:style>
  <w:style w:type="character" w:styleId="ListLabel22">
    <w:name w:val="ListLabel 22"/>
    <w:qFormat/>
    <w:rPr>
      <w:rFonts w:ascii="Times New Roman" w:hAnsi="Times New Roman" w:cs="OpenSymbol"/>
      <w:sz w:val="20"/>
    </w:rPr>
  </w:style>
  <w:style w:type="character" w:styleId="ListLabel23">
    <w:name w:val="ListLabel 23"/>
    <w:qFormat/>
    <w:rPr>
      <w:rFonts w:ascii="Times New Roman" w:hAnsi="Times New Roman" w:cs="OpenSymbol"/>
      <w:sz w:val="20"/>
    </w:rPr>
  </w:style>
  <w:style w:type="character" w:styleId="ListLabel24">
    <w:name w:val="ListLabel 24"/>
    <w:qFormat/>
    <w:rPr>
      <w:rFonts w:ascii="Roboto" w:hAnsi="Roboto"/>
      <w:color w:val="0F2B46"/>
      <w:sz w:val="18"/>
      <w:szCs w:val="18"/>
    </w:rPr>
  </w:style>
  <w:style w:type="character" w:styleId="ListLabel25">
    <w:name w:val="ListLabel 25"/>
    <w:qFormat/>
    <w:rPr>
      <w:rFonts w:ascii="Roboto" w:hAnsi="Roboto"/>
      <w:color w:val="0F2B46"/>
      <w:sz w:val="18"/>
      <w:szCs w:val="18"/>
      <w:u w:val="single"/>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Style20">
    <w:name w:val="Содержимое таблицы"/>
    <w:basedOn w:val="Normal"/>
    <w:qFormat/>
    <w:pPr>
      <w:suppressLineNumbers/>
    </w:pPr>
    <w:rPr/>
  </w:style>
  <w:style w:type="paragraph" w:styleId="Style21">
    <w:name w:val="Заголовок таблицы"/>
    <w:basedOn w:val="Style20"/>
    <w:qFormat/>
    <w:pPr>
      <w:suppressLineNumbers/>
      <w:jc w:val="center"/>
    </w:pPr>
    <w:rPr>
      <w:b/>
      <w:bCs/>
    </w:rPr>
  </w:style>
  <w:style w:type="paragraph" w:styleId="Style22">
    <w:name w:val="Содержимое врезки"/>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37</TotalTime>
  <Application>LibreOffice/6.2.2.2$Windows_X86_64 LibreOffice_project/2b840030fec2aae0fd2658d8d4f9548af4e3518d</Application>
  <Pages>12</Pages>
  <Words>6933</Words>
  <Characters>43503</Characters>
  <CharactersWithSpaces>50166</CharactersWithSpaces>
  <Paragraphs>204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2022-01-10T13:40:47Z</dcterms:created>
  <dc:creator>Windows User</dc:creator>
  <dc:description/>
  <dc:language>ru-RU</dc:language>
  <cp:lastModifiedBy/>
  <dcterms:modified xsi:type="dcterms:W3CDTF">2022-05-13T01:27:03Z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