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B5" w:rsidRDefault="00A57BB5" w:rsidP="00A57B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Теоретичні основи моніторингу </w:t>
      </w:r>
      <w:proofErr w:type="spellStart"/>
      <w:r w:rsidRPr="00B359D4">
        <w:rPr>
          <w:rFonts w:ascii="Times New Roman" w:hAnsi="Times New Roman" w:cs="Times New Roman"/>
          <w:sz w:val="28"/>
          <w:szCs w:val="28"/>
        </w:rPr>
        <w:t>агроландшафтів</w:t>
      </w:r>
      <w:proofErr w:type="spellEnd"/>
    </w:p>
    <w:p w:rsidR="00A57BB5" w:rsidRDefault="00A57BB5" w:rsidP="00A57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-– забруднювачів об'єкт моніторингу В даний час господарська діяльність людини призвела до трансформації природних екосистем. Практично вони перетворені 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напівприродні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й антропогенні екосистеми.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агробіогеоценоз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) це сукупність однорідних природних я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на певному відрізку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агроландшафту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які взаємодіють між собою. Він включає в себе біоценоз і екотоп. Біоценоз , в свою чергу, складається з агрофітоценозу (автотрофних компонентів або продуцентів), та зооценозу (консументів та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редуцентів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не є системою, що функціонує самостійно. Для її нормального функціонування необхідне втручання людини. Розглянемо видову просторову структуру і трофічні зв'язки 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Її с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системи по поверхні і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вертце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особливе розміщення компонентів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икалі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а також закономірні кількісні зв'язки між ними, сезонні зміни агрофітоценозу. Кожна конкретна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має свій визначений видовий склад. Він формується людиною, яка культивує якийсь певний вид культурної рослини. Супутниками даної рослини є о кремі види бур'янів і тварин, які пристосовуються до неї в процесі історичного розвитку. </w:t>
      </w:r>
    </w:p>
    <w:p w:rsidR="00A57BB5" w:rsidRDefault="00A57BB5" w:rsidP="00A57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B5">
        <w:rPr>
          <w:rFonts w:ascii="Times New Roman" w:hAnsi="Times New Roman" w:cs="Times New Roman"/>
          <w:sz w:val="28"/>
          <w:szCs w:val="28"/>
        </w:rPr>
        <w:t xml:space="preserve">Видовий склад зумовлює специфіку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її зовнішній вигляд, або аспект, визначений в основному вищими рослинами, або агрофітоценозом.  Агрофітоценоз (АФ) це сукупність існуючих разом на одній і тій самій території рослинних організмів, що створені людиною з метою одержання необхідної їй органічної маси шляхом висіву трав'янистих (найчастіше культурних) рослин на спеціально для цієї мети відведеній і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відпові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чином підготовленій ділянці. Висіяні людиною культурні рослини є домінантами або едифікаторами створеного (АФ), інші його компоненти входять до складу (АФ) незалежно від бажання людини. Розміщення видів 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не хаотичне, а залежить від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ротехніки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що узгоджується з екологічними закономірностями. У видовому відношенні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властива наявність здебільше 1-– це угрупування, яким го виду культурних рослини та кількох десятків бур’янів, але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представлені великою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кількіс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тю особин культурних рослин, що й визначає їх зовнішній вигляд. Так, зовнішній вигляд пшеничного поля визначається одним видом пшеницею та 1649 видами бур'янів. Загальне ж число рослин пшениці .досягає до 4,5 млн. на 1 га. Складні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створ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юють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дві або більше культур До складних належать також угрупування, що складаються з однієї культури, але в посівах якої наявна значна кількість бур'янів. Видову насиченість вищих рослин 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формує людина, визначаючи норми висіву насіння. Том у вони характеризуються одноманітністю. Щільність культурних рослин регулюється нормою висіву насіння, яка залежить </w:t>
      </w:r>
      <w:r w:rsidRPr="00A57BB5">
        <w:rPr>
          <w:rFonts w:ascii="Times New Roman" w:hAnsi="Times New Roman" w:cs="Times New Roman"/>
          <w:sz w:val="28"/>
          <w:szCs w:val="28"/>
        </w:rPr>
        <w:lastRenderedPageBreak/>
        <w:t xml:space="preserve">від кліматичної зони, ґрунту, культури. Вибір того чи іншого виду культурних рослин зумовлюється потребою людини, кліматом і родючістю ґрунт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Щільність популяцій визначається кількістю особин на одиниці площі і залежить від погодних умов, при цьому найбільший ефект досягається в оптимальних умовах. Крім того, щільність залежить від способу і норми висіву насіння та умов агротехніки, біологічних і екологічних особливостей вирощуваних рослин, рівня забур'яненості ґрунтів. Спосіб і норми висіву визначають також умови кореневого і повітряного живлення рослин. Щільність впливає на світловий, тепловий та газовий режими в надземній і підземній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нах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вологість повітря, інтенсивність транспірації, енергію фотосинтезу, умови кореневого і повітряного живлення, характер взаємодії рослин між собою і середовищем. Від цих факторів, а також від агротехніки, 45в, залежить і що застосовується, якщо виключити вплив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шкідникі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продуктивність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Спосіб висіву визначається розмноженням рослин на площі і може бути рядковим, вузько, широкорядним, гніздовим. Зменшення норми висіву культури, що призводить до зрідження стеблостою, зумовлює забур'яненість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посі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вів, а збільшення їх вилягання і пригнічення. Підвищення продуктивності сільськогосподарських культур можливе при оптимальному розміщенні рослин по площі на фоні високої агротехніки і створення в ряді випадків складних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з різних, але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біологі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та екологічно сумісних видів і сортів, а також сумісних посівів на одній ділянці ранніх і пізніх культур або різних сортів. Це дає змогу використовувати екологічні ніші, що їх займають бур’яни. Крім того, варто підкреслити, що практично всі культурні рослини це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інтродуценти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які зайняли кращі екологічні ніші за допомогою людини. </w:t>
      </w:r>
    </w:p>
    <w:p w:rsidR="00A57BB5" w:rsidRDefault="00A57BB5" w:rsidP="00A57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B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характерні специфічні і численні взаємозв'язки між вищими рослинами і популяціями окремих видів шкідників, що їх населяють. Причому, характер цих зв’язків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ачною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мірою залежить від кліматичних факторів та господарських особливостей. Наприклад, з озимою пшеницею пов’язано 669 видів, з них 416 видів фітофагів і 253 види ентомофагів, але кількість і співвідношення видів різні. Найбільша кількість (462) види кома х, як фіто спостерігається в так і ентомофагів, степовій зоні. Тут домінують 5 видів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пластинчатовусих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жуків, з яких жук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кузька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становить за чисельністю 94%, серед рослиноїдних жужелиць 49,5% становить хлібна і 20% велика хлібна. Із 5ти видів хлібних клопів на шкідливу черепашку припадає 90,6%, із 15 видів підгризаючих совок на озиму совку 88,5%, з 13 видів злакових мух найбільш численні гессенська, вівсяна і шведська. Поширені також шкідливі ковалики: степовий посівний 24%, широкий 15%, із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пилкоїдів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55%, протей (72,9%), серед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чорнотілок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домінує піщаний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мідляк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У Лісостепу на озимій пшениці домінують ковалики, </w:t>
      </w:r>
      <w:r w:rsidRPr="00A57BB5">
        <w:rPr>
          <w:rFonts w:ascii="Times New Roman" w:hAnsi="Times New Roman" w:cs="Times New Roman"/>
          <w:sz w:val="28"/>
          <w:szCs w:val="28"/>
        </w:rPr>
        <w:lastRenderedPageBreak/>
        <w:t xml:space="preserve">росткові мухи, шведська, озима, гессенська мухи, велика злакова попелиця, звичайна черемхова попелиця, житній і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пустоцвітний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трипси,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п'явиц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я звичайна. Всього тут налічується 411 видів комах і кліщів, з них 320 видів фітофагів і 191 вид ентомофагів. У Нечорноземній зоні відмічають 328 видів, з них 169 видів фітофагів і 159 видів ентомофагів. Фауна АГ формується в основному за рахунок місцевих серед яких є як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моновидів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комах, так і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поліфаги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Первинні біогеоценози, як правило, багаті на види рослин і тварин, а також відносно стійкі, що є 46   47 результатом тривалого їх пристосування в процесі еволюції. Відомо, що чисельність окремих видів тварин у природному біоценозі, як правило, невисока, а її коливання ніколи не досягають такої амплітуди, як у АГ. Культури, що мають своїх предків у місцевій флорі, заселені тими ж видами комах, що і їх дикі родичі ( наприклад жито, пшениця, овес, ячмінь, капуста, буряки). В умовах монокультури в АГ виявлено дуже обмежену кількість видів комах, але для деяких з них створюються особливо сприятливі умови, що зумовлює їх масове розмноження. Так з цієї причини у Степу в зв'язку з культурою пшениці розмножується жук -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кузька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а в Лісостепу на цукрових буряках – довгоносик. Для зменшення кількості окремих видів комах застосовують зміну культур у сівозміни. Та, незважаючи на це, загальна чисельність комах збільшується, що пов'язано з тим, що після кожної культури залишаються специфічні для неї комахи. У сівозміні з багаторічними травами в наступних культурах спостерігається підвищена кількість личинок коваликів та деяких хрущів, продовжують розвиватися довгоносики. На полях цукрових буряків, висіяних після озимих, у великій кількості зустрічаються личинки жука -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кузьки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Фауна бобових трав завжди багатша, ніж злакових. На райграсі виявлено 31 вид, на пирії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безкореневищному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– 47, на люцерні – 67 видів. У травосумішках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ентомофауна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багатша. На сумішці еспарцету - 84 види, а на суміші люцерни з пирієм - 94. Кількість видів у фауні культурних полів збільшується також за рахунок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інтродуцентів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Вони завозяться разом з культурами або заносяться людиною. До таких належить горохова зернівка, що походить із Середземномор’я, квасолева зернівка, походження якої - Південна Америка, колорадський жук, який походить з Північної Америки. Просторова структура, або ярусність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– це її вертикальний розподіл у наземній та підземній частинах на структурно-функціональні горизонти, тобто розміщення функціональних органів (листя, коріння) на різній висоті від землі та глибині ґрунту. Розрізняють надземну і підземну структуру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Формування надземної структури залежить від вибагливості рослин до світла та родючості ґрунту. Тому верхній ярус створюють більш світлолюбні, нижче розміщені рослини з середньою вибагливістю до світла, під їх наметом – найбільш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тіневитривалі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Рослини різних ярусів мають неоднакові вимоги щодо тепла, вологи та сили вітру. Рослини </w:t>
      </w:r>
      <w:r w:rsidRPr="00A57BB5">
        <w:rPr>
          <w:rFonts w:ascii="Times New Roman" w:hAnsi="Times New Roman" w:cs="Times New Roman"/>
          <w:sz w:val="28"/>
          <w:szCs w:val="28"/>
        </w:rPr>
        <w:lastRenderedPageBreak/>
        <w:t xml:space="preserve">верхнього ярусу краще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коливання температури, вологи та сили вітру. Рослини нижнього ярусу пристосувались до більш стабільних умов, які формуються під наметом культурного ярусу. При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одновидових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посівах велике значення має рівномірне розповсюдження листкової поверхні в товщі по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сіву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і рівномірне освітлення в середині травостою. У цьому випадку підвищується оптимальна площа листкової поверхні й одержують вищі добові прирости біомаси. </w:t>
      </w:r>
    </w:p>
    <w:p w:rsidR="00494695" w:rsidRPr="00A57BB5" w:rsidRDefault="00A57BB5" w:rsidP="00A57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B5">
        <w:rPr>
          <w:rFonts w:ascii="Times New Roman" w:hAnsi="Times New Roman" w:cs="Times New Roman"/>
          <w:sz w:val="28"/>
          <w:szCs w:val="28"/>
        </w:rPr>
        <w:t xml:space="preserve">Структура посівів є цілісною оптичною системою, тому ставиться питання про спрямований підбір сорт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рослин, здатних утворити найбільш сучасні ценози. У функціональному відношенні чистий посів відносно елементарне угрупування, але рослини в ньому зв'язані в єдину систему завдяки наявності різних, проте біологічно сумісних особин. Біологічна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сумісніст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ь рослин одного виду сприяє тому, що рослини освоюють і використовують фактори середовища для нагромадження біомаси, розвиваються, утворюють органи, розростаються, зріджуються і розмножуються з користю для всього виду. Рослинний покрив значною мірою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згладж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ує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коливання температури ґрунту. Так, амплітуда коливання температури ґрунту на ділянках скошеного степу в два рази ширша, ніж нескошеного. Залежно від цього, складаються різні умови для росту та розвитку рослин. Мікрокліматичні умови в природному угрупуванні відрізняються від таких у штучно створених ценозах. Температура повітря 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протягом доби вища, що свідчить і про більше випаровування вологи на сільськогосподарських полях. На сільськогосподарських угіддях вертикальний градієнт вологості повітря виражений дуже слабко, на відміну від степу, де він досить високий. Підземна структура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формується завдяки розподілу кореневої системи рослин у ґрунті, проникненню коренів на різну глибину, де вони перебувають у неоднакових умовах,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щі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льності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вологості, тепла, повітряного режиму, живлення. Це вплив на нагромадження в них вуглеводів, постачання надземним частинам рослин води й елементів живлення, що надходять із коріння, а також на процес створення і перетворення органічних речовин. У відповідності до умов росту і розвитку формується морфологічна будова надземних і підземних органів рослин. 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виділяють наступні надземні яруси: </w:t>
      </w:r>
      <w:r w:rsidRPr="00A57BB5">
        <w:rPr>
          <w:rFonts w:ascii="Times New Roman" w:hAnsi="Times New Roman" w:cs="Times New Roman"/>
          <w:sz w:val="28"/>
          <w:szCs w:val="28"/>
        </w:rPr>
        <w:t xml:space="preserve"> </w:t>
      </w:r>
      <w:r w:rsidRPr="00A57BB5">
        <w:rPr>
          <w:rFonts w:ascii="Times New Roman" w:hAnsi="Times New Roman" w:cs="Times New Roman"/>
          <w:sz w:val="28"/>
          <w:szCs w:val="28"/>
        </w:rPr>
        <w:t xml:space="preserve"> культурний рослинами; (К), створений висіяними верхній (В), що піднімається над культурним ярусом і представлений невеликою кількістю високорослих рослин; 48розміщений нижче культурного ярусу; середній (С) нижній (Н) включає рослини, розташовані на невеликій (до 25 см) висоті над ґрунтом. Культурний ярус створений в основному висівом культурних рослин. До нього входить також невелика кількість бур’янів, що мають однакову з ним висоту. Оскільки цей ярус створений великою кількістю культурних </w:t>
      </w:r>
      <w:r w:rsidRPr="00A57BB5">
        <w:rPr>
          <w:rFonts w:ascii="Times New Roman" w:hAnsi="Times New Roman" w:cs="Times New Roman"/>
          <w:sz w:val="28"/>
          <w:szCs w:val="28"/>
        </w:rPr>
        <w:lastRenderedPageBreak/>
        <w:t xml:space="preserve">рослин, він, як правило, відіграє вирішальну роль у створенні внутрішнього середовища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тем і формує умови для існування бур’янів. У створенні верхнього ярусу беруть участь як бур’яни, так і культурні рослини (жито в посівах пшениці). Середній ярус створений бур’янами. Він значно відрізняється від культурного невеликою кількістю рослин та меншою їх висотою, але під час збирання врожаю він зрізується разом з культурними рослинами. Нижній ярус , що складається з однорічних післяжнивних бур’янів (жабрій, чистець) під час збирання не зрізується, тому є досить небезпечним, бо значно розростається. У змішаних посівах, що створені двома культурами, одна з яких менша за розмірами, культурний ярус складається з 2х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підярусів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культурного верхнього (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>) і культурного нижнього (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). Останній разом з середнім ярусом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створює один ярус. У такому випадку ярусна структура агрофітоценозу буде складена з В (верхнього),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(культурного верхнього),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Кн+Б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(культурного нижнього + бур’яни) і Н (нижнього) ярусів. Ярусний розподіл рослин підвищує загальну продуктивність.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оскільки пом’якшує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аємовідносини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між рослинами: зокрема, розмежовує життєвий простір окремих рослин, послаблює боротьбу за існування між ними й одночасно створює умови для повнішого використання ресурсів зовнішнього середовища. 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людина намагається одержати найвищу продуктивність не всіх рослин, а лише культурних. Тому вона позбувається бур’янів, що створюють верхні, середні і нижні яруси. Бур’яни в процесі свого розвитку пристосовуються до умов існування 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Майже кожна культура має свої види с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пеціалізованих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бур’янів з близькими ареалами.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Агроекосистеми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мають різний набір видів культурних рослин, але вони займають у них одні й ті самі екологічні ніші. Наприклад, посіви пшениці, вівса чи жита належить до різних видів культурних рослин, але 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 займають одні й ті ж екологічні ніші, оскільки виконують одну функцію особливе середовище продуцентів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фітосередовище.едифікаторів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створюючи </w:t>
      </w:r>
      <w:bookmarkStart w:id="0" w:name="_GoBack"/>
      <w:bookmarkEnd w:id="0"/>
      <w:r w:rsidRPr="00A57BB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агроекосистемах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, як і в кожній екосистемі між організмами існують певні трофічні зв’язки . Однак , завдяки заходам, що застосовуються людиною з метою одержання найбільшої кількості продукції, вони значно деформовані. Ця деформація особливо помітна при застосуванні пестицидів. Трофічні ланцюги стають коротшими або руйнуються, оскільки гинуть консументи , а якщо вони й зберігаються, то кількість цих ланцюгів значно зменшується. Досвід застосування отрутохімікатів показав, що повністю знищити шкідників ними не вдається, більше того, шкідники подекуди швидко пристосовуються до пестицидів і харчові зв’язки в </w:t>
      </w:r>
      <w:proofErr w:type="spellStart"/>
      <w:r w:rsidRPr="00A57BB5">
        <w:rPr>
          <w:rFonts w:ascii="Times New Roman" w:hAnsi="Times New Roman" w:cs="Times New Roman"/>
          <w:sz w:val="28"/>
          <w:szCs w:val="28"/>
        </w:rPr>
        <w:t>ідновлюються</w:t>
      </w:r>
      <w:proofErr w:type="spellEnd"/>
      <w:r w:rsidRPr="00A57BB5">
        <w:rPr>
          <w:rFonts w:ascii="Times New Roman" w:hAnsi="Times New Roman" w:cs="Times New Roman"/>
          <w:sz w:val="28"/>
          <w:szCs w:val="28"/>
        </w:rPr>
        <w:t xml:space="preserve">. Відомі численні факти коли неправильно здійснена хімічна боротьба з шкідниками в майбутньому викликала їх нове масове розмноження в зв’язку з тим, що </w:t>
      </w:r>
      <w:r w:rsidRPr="00A57BB5">
        <w:rPr>
          <w:rFonts w:ascii="Times New Roman" w:hAnsi="Times New Roman" w:cs="Times New Roman"/>
          <w:sz w:val="28"/>
          <w:szCs w:val="28"/>
        </w:rPr>
        <w:lastRenderedPageBreak/>
        <w:t>одночасно із шкідниками знищувалися і їх природні вороги, відбувалася адаптація шкідників до отрут і формування стійких популяцій.</w:t>
      </w:r>
    </w:p>
    <w:sectPr w:rsidR="00494695" w:rsidRPr="00A57BB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B5"/>
    <w:rsid w:val="001D373D"/>
    <w:rsid w:val="00494695"/>
    <w:rsid w:val="00A57BB5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8207"/>
  <w15:chartTrackingRefBased/>
  <w15:docId w15:val="{9A026FEC-A5D7-4441-A909-4DA32F6F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9030</Words>
  <Characters>5148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2022-08-23T15:27:00Z</dcterms:created>
  <dcterms:modified xsi:type="dcterms:W3CDTF">2022-08-23T15:32:00Z</dcterms:modified>
</cp:coreProperties>
</file>