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3A4005" w:rsidP="003A4005">
      <w:pPr>
        <w:spacing w:line="240" w:lineRule="auto"/>
        <w:jc w:val="center"/>
        <w:rPr>
          <w:b/>
          <w:lang w:val="uk-UA"/>
        </w:rPr>
      </w:pPr>
      <w:r w:rsidRPr="003A4005">
        <w:rPr>
          <w:b/>
          <w:lang w:val="uk-UA"/>
        </w:rPr>
        <w:t>ТЕМА 6. УПРАВЛІННЯ ПОРТФЕЛЕМ ЦІННИХ ПАПЕРІВ БАНКУ</w:t>
      </w:r>
    </w:p>
    <w:p w:rsidR="003A4005" w:rsidRDefault="003A4005" w:rsidP="003A4005">
      <w:pPr>
        <w:spacing w:line="240" w:lineRule="auto"/>
        <w:jc w:val="center"/>
        <w:rPr>
          <w:b/>
          <w:lang w:val="uk-UA"/>
        </w:rPr>
      </w:pPr>
    </w:p>
    <w:p w:rsidR="003A4005" w:rsidRDefault="003A4005" w:rsidP="003A400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Класифікація та функції портфеля цінних паперів банку</w:t>
      </w:r>
      <w:r>
        <w:rPr>
          <w:lang w:val="uk-UA"/>
        </w:rPr>
        <w:t>.</w:t>
      </w:r>
    </w:p>
    <w:p w:rsidR="003A4005" w:rsidRDefault="003A4005" w:rsidP="003A400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Стратегії формування портфеля цінних папері</w:t>
      </w:r>
      <w:proofErr w:type="gramStart"/>
      <w:r>
        <w:t>в</w:t>
      </w:r>
      <w:proofErr w:type="gramEnd"/>
      <w:r>
        <w:rPr>
          <w:lang w:val="uk-UA"/>
        </w:rPr>
        <w:t>.</w:t>
      </w:r>
    </w:p>
    <w:p w:rsidR="003A4005" w:rsidRDefault="003A4005" w:rsidP="003A400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Методи визначення дохідності портфеля цінних папері</w:t>
      </w:r>
      <w:proofErr w:type="gramStart"/>
      <w:r>
        <w:t>в</w:t>
      </w:r>
      <w:proofErr w:type="gramEnd"/>
      <w:r>
        <w:rPr>
          <w:lang w:val="uk-UA"/>
        </w:rPr>
        <w:t>.</w:t>
      </w:r>
    </w:p>
    <w:p w:rsidR="003A4005" w:rsidRDefault="003A4005" w:rsidP="003A400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Методи оцінки ризику та ефективності управління портфелем цінних паперів банку</w:t>
      </w:r>
      <w:r>
        <w:rPr>
          <w:lang w:val="uk-UA"/>
        </w:rPr>
        <w:t>.</w:t>
      </w:r>
    </w:p>
    <w:p w:rsidR="003A4005" w:rsidRDefault="003A4005" w:rsidP="003A400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Управління інвестиційним горизонтом банківського портфеля цінних папері</w:t>
      </w:r>
      <w:proofErr w:type="gramStart"/>
      <w:r>
        <w:t>в</w:t>
      </w:r>
      <w:proofErr w:type="gramEnd"/>
      <w:r>
        <w:rPr>
          <w:lang w:val="uk-UA"/>
        </w:rPr>
        <w:t>.</w:t>
      </w:r>
    </w:p>
    <w:p w:rsidR="003A4005" w:rsidRPr="003A4005" w:rsidRDefault="003A4005" w:rsidP="003A4005">
      <w:pPr>
        <w:tabs>
          <w:tab w:val="left" w:pos="993"/>
        </w:tabs>
        <w:spacing w:line="240" w:lineRule="auto"/>
        <w:rPr>
          <w:lang w:val="uk-UA"/>
        </w:rPr>
      </w:pPr>
    </w:p>
    <w:p w:rsidR="003A4005" w:rsidRDefault="003A4005" w:rsidP="003A4005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3A4005">
        <w:rPr>
          <w:b/>
        </w:rPr>
        <w:t>Класифікація та функції портфеля цінних паперів банку</w:t>
      </w:r>
      <w:r w:rsidRPr="003A4005">
        <w:rPr>
          <w:b/>
          <w:lang w:val="uk-UA"/>
        </w:rPr>
        <w:t>.</w:t>
      </w:r>
    </w:p>
    <w:p w:rsidR="00300E3A" w:rsidRPr="00300E3A" w:rsidRDefault="00300E3A" w:rsidP="00300E3A">
      <w:pPr>
        <w:pStyle w:val="a3"/>
        <w:tabs>
          <w:tab w:val="left" w:pos="142"/>
        </w:tabs>
        <w:spacing w:line="240" w:lineRule="auto"/>
        <w:ind w:left="0" w:firstLine="709"/>
        <w:rPr>
          <w:lang w:val="uk-UA"/>
        </w:rPr>
      </w:pPr>
      <w:r>
        <w:t>Операції з цінними паперами належать до традиційних видів банківської діяльності, а в результаті їх проведення формується портфель цінних паперів комерційного банку.</w:t>
      </w:r>
    </w:p>
    <w:p w:rsidR="003A4005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b/>
        </w:rPr>
        <w:t>Банківський портфель цінних паперів</w:t>
      </w:r>
      <w:r>
        <w:t xml:space="preserve"> — це сукупність усіх придбаних та отриманих банком цінних паперів, право на власність, користування та розпорядження якими належить банку. Портфель цінних паперів банку формується для одержання доходів у вигляді процентів, дивідендів, прибутків </w:t>
      </w:r>
      <w:proofErr w:type="gramStart"/>
      <w:r>
        <w:t>в</w:t>
      </w:r>
      <w:proofErr w:type="gramEnd"/>
      <w:r>
        <w:t>ід перепродажу та інших прямих і непрямих доходів.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Перегляд структури активі</w:t>
      </w:r>
      <w:proofErr w:type="gramStart"/>
      <w:r>
        <w:t>в</w:t>
      </w:r>
      <w:proofErr w:type="gramEnd"/>
      <w:r>
        <w:t xml:space="preserve"> на користь портфеля цінних паперів може бути зумовлений двома групами чинників.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lang w:val="uk-UA"/>
        </w:rPr>
        <w:t xml:space="preserve">З одного боку, це </w:t>
      </w:r>
      <w:r>
        <w:rPr>
          <w:lang w:val="uk-UA"/>
        </w:rPr>
        <w:t>-</w:t>
      </w:r>
      <w:r w:rsidRPr="00300E3A">
        <w:rPr>
          <w:lang w:val="uk-UA"/>
        </w:rPr>
        <w:t xml:space="preserve"> </w:t>
      </w:r>
      <w:r w:rsidRPr="00300E3A">
        <w:rPr>
          <w:u w:val="single"/>
          <w:lang w:val="uk-UA"/>
        </w:rPr>
        <w:t>недоліки, властиві кредитним операціям</w:t>
      </w:r>
      <w:r w:rsidRPr="00300E3A">
        <w:rPr>
          <w:lang w:val="uk-UA"/>
        </w:rPr>
        <w:t xml:space="preserve">: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 висока ризикованість, оскільки кредити — найризикованіша частина активів банку;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 низька ліквідність — надані кред</w:t>
      </w:r>
      <w:r>
        <w:rPr>
          <w:lang w:val="uk-UA"/>
        </w:rPr>
        <w:t>ити не можуть бути швидко повер</w:t>
      </w:r>
      <w:r w:rsidRPr="00300E3A">
        <w:rPr>
          <w:lang w:val="uk-UA"/>
        </w:rPr>
        <w:t xml:space="preserve">нені тоді, коли банку необхідні грошові кошти;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 повне оподаткування доходів за кредитними операціями за ставками податку з прибутку промислових підприємств;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 обмежене застосування методу географічної диверсифікації кредитного портфеля, особливо для малих і середніх банків, що погіршує загальну якість активів.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lang w:val="uk-UA"/>
        </w:rPr>
        <w:t xml:space="preserve">З іншого боку, портфель </w:t>
      </w:r>
      <w:r>
        <w:rPr>
          <w:lang w:val="uk-UA"/>
        </w:rPr>
        <w:t>цінних паперів виконує низку ва</w:t>
      </w:r>
      <w:r w:rsidRPr="00300E3A">
        <w:rPr>
          <w:lang w:val="uk-UA"/>
        </w:rPr>
        <w:t xml:space="preserve">жливих функцій, що й спонукає менеджерів до збільшення його питомої ваги в активах банку.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b/>
          <w:lang w:val="uk-UA"/>
        </w:rPr>
        <w:t>Функції портфеля цінних паперів</w:t>
      </w:r>
      <w:r w:rsidRPr="00300E3A">
        <w:rPr>
          <w:lang w:val="uk-UA"/>
        </w:rPr>
        <w:t xml:space="preserve">: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генерування доходів;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диверсифікація портфеля активів, що має на меті зниження ризиків; </w:t>
      </w:r>
      <w:r>
        <w:sym w:font="Symbol" w:char="F0A8"/>
      </w:r>
      <w:r w:rsidRPr="00300E3A">
        <w:rPr>
          <w:lang w:val="uk-UA"/>
        </w:rPr>
        <w:t xml:space="preserve">підвищення ліквідації банку;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зниження податкових виплат;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можливість використання як застави;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>поліпшення фінансових пока</w:t>
      </w:r>
      <w:r>
        <w:rPr>
          <w:lang w:val="uk-UA"/>
        </w:rPr>
        <w:t>зників діяльності банку, оскіль</w:t>
      </w:r>
      <w:r w:rsidRPr="00300E3A">
        <w:rPr>
          <w:lang w:val="uk-UA"/>
        </w:rPr>
        <w:t xml:space="preserve">ки цінні папери в цілому мають вищу якість порівняно з іншими активами;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300E3A">
        <w:rPr>
          <w:lang w:val="uk-UA"/>
        </w:rPr>
        <w:t xml:space="preserve">забезпечення гнучкості портфеля активів, так як за рахунок цінних паперів можлива швидка реструктуризація балансу банку;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lastRenderedPageBreak/>
        <w:sym w:font="Symbol" w:char="F0A8"/>
      </w:r>
      <w:r w:rsidRPr="00300E3A">
        <w:rPr>
          <w:lang w:val="uk-UA"/>
        </w:rPr>
        <w:t>стабілізація доходів банку</w:t>
      </w:r>
      <w:r>
        <w:rPr>
          <w:lang w:val="uk-UA"/>
        </w:rPr>
        <w:t xml:space="preserve"> незалежно від фаз ділового цик</w:t>
      </w:r>
      <w:r w:rsidRPr="00300E3A">
        <w:rPr>
          <w:lang w:val="uk-UA"/>
        </w:rPr>
        <w:t>лу: коли відсоткові ставки на ринку знижуються, дохідність цінних паперів зростає, і навпаки.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b/>
        </w:rPr>
        <w:t>Головна мета управління портфелем цінних паперів</w:t>
      </w:r>
      <w:r>
        <w:t xml:space="preserve"> може бути по</w:t>
      </w:r>
      <w:r>
        <w:softHyphen/>
        <w:t xml:space="preserve">різному визначена менеджментом банку. </w:t>
      </w:r>
      <w:proofErr w:type="gramStart"/>
      <w:r>
        <w:t>Здебільшого банк формує портфель цінних паперів для досягнення однієї із таких цілей:</w:t>
      </w:r>
      <w:proofErr w:type="gramEnd"/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а) максимізація прибуткі</w:t>
      </w:r>
      <w:proofErr w:type="gramStart"/>
      <w:r>
        <w:t>в</w:t>
      </w:r>
      <w:proofErr w:type="gramEnd"/>
      <w:r>
        <w:t xml:space="preserve">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б) </w:t>
      </w:r>
      <w:proofErr w:type="gramStart"/>
      <w:r>
        <w:t>п</w:t>
      </w:r>
      <w:proofErr w:type="gramEnd"/>
      <w:r>
        <w:t xml:space="preserve">ідтримка ліквідності;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в) зниження ризику.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Поняття банківського портфеля цінних паперів тісно пов’язане з поняттям інвестиційного портфеля, хоча вони не ідентичні. Між цими портфелями існують суттєві </w:t>
      </w:r>
      <w:proofErr w:type="gramStart"/>
      <w:r>
        <w:t>в</w:t>
      </w:r>
      <w:proofErr w:type="gramEnd"/>
      <w:r>
        <w:t>ідмінності як за видами активів, що їх формують, так і за виконуваними функціями.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lang w:val="uk-UA"/>
        </w:rPr>
        <w:t xml:space="preserve"> </w:t>
      </w:r>
      <w:r w:rsidRPr="00300E3A">
        <w:rPr>
          <w:u w:val="single"/>
          <w:lang w:val="uk-UA"/>
        </w:rPr>
        <w:t>Інвестиційний портфель банку</w:t>
      </w:r>
      <w:r>
        <w:rPr>
          <w:lang w:val="uk-UA"/>
        </w:rPr>
        <w:t xml:space="preserve"> формується в результаті прове</w:t>
      </w:r>
      <w:r w:rsidRPr="00300E3A">
        <w:rPr>
          <w:lang w:val="uk-UA"/>
        </w:rPr>
        <w:t>дення інвестиційних операцій, під якими розуміють діяльність із вкладення грошових коштів банку на відносно тривалий період часу в цінні папери, нерухомість, статутні фонди підприємств, колекції, дорогоцінні метали та і</w:t>
      </w:r>
      <w:r>
        <w:rPr>
          <w:lang w:val="uk-UA"/>
        </w:rPr>
        <w:t>нші об’єкти інвестування, ринко</w:t>
      </w:r>
      <w:r w:rsidRPr="00300E3A">
        <w:rPr>
          <w:lang w:val="uk-UA"/>
        </w:rPr>
        <w:t xml:space="preserve">ва вартість яких має здатність зростати і приносити власнику дохід у вигляді процентів, дивідендів, прибутків від перепродажу та інших прямих і непрямих доходів. </w:t>
      </w:r>
      <w:r>
        <w:t xml:space="preserve">Отже,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складу</w:t>
      </w:r>
      <w:proofErr w:type="gramEnd"/>
      <w:r>
        <w:t xml:space="preserve"> інвестиційного портфеля банку входять як фінансові, так і реальні інвестиції.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u w:val="single"/>
          <w:lang w:val="uk-UA"/>
        </w:rPr>
        <w:t>Фінансові інвестиції</w:t>
      </w:r>
      <w:r>
        <w:rPr>
          <w:lang w:val="uk-UA"/>
        </w:rPr>
        <w:t xml:space="preserve"> — це вкла</w:t>
      </w:r>
      <w:r w:rsidRPr="00300E3A">
        <w:rPr>
          <w:lang w:val="uk-UA"/>
        </w:rPr>
        <w:t xml:space="preserve">дення коштів у різноманітні фінансові інструменти, такі як цінні папери, депозити, цільові банківські вклади, паї, частки, вкладення в статутні фонди компаній.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u w:val="single"/>
        </w:rPr>
        <w:t>Реальні інвестиції</w:t>
      </w:r>
      <w:r>
        <w:t xml:space="preserve"> — це вкладення кошті</w:t>
      </w:r>
      <w:proofErr w:type="gramStart"/>
      <w:r>
        <w:t>в</w:t>
      </w:r>
      <w:proofErr w:type="gramEnd"/>
      <w:r>
        <w:t xml:space="preserve"> у матеріальні та нематеріальні активи. До матеріальних об’єктів інвестування належать: будинки, споруди, обладнання, дорогоцінні метали, колекції, інші товарно-матеріальні цінності. До цієї групи включаються інвестиції у відтворення й прирі</w:t>
      </w:r>
      <w:proofErr w:type="gramStart"/>
      <w:r>
        <w:t>ст</w:t>
      </w:r>
      <w:proofErr w:type="gramEnd"/>
      <w:r>
        <w:t xml:space="preserve"> основних та оборотних фондів, які здійснюються у формі капітальних вкладень.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u w:val="single"/>
          <w:lang w:val="uk-UA"/>
        </w:rPr>
        <w:t>Інвестиції в нематеріальні активи</w:t>
      </w:r>
      <w:r>
        <w:rPr>
          <w:lang w:val="uk-UA"/>
        </w:rPr>
        <w:t xml:space="preserve"> включають вкладення в патен</w:t>
      </w:r>
      <w:r w:rsidRPr="00300E3A">
        <w:rPr>
          <w:lang w:val="uk-UA"/>
        </w:rPr>
        <w:t>ти; ліцензії; «ноу-хау»; технічну, науково-практичну, технологічну та проектно-кошторисну документацію; ма</w:t>
      </w:r>
      <w:r>
        <w:rPr>
          <w:lang w:val="uk-UA"/>
        </w:rPr>
        <w:t>йнові права, що випливають з ав</w:t>
      </w:r>
      <w:r w:rsidRPr="00300E3A">
        <w:rPr>
          <w:lang w:val="uk-UA"/>
        </w:rPr>
        <w:t>торського права; досвід та інші інтелектуа</w:t>
      </w:r>
      <w:r>
        <w:rPr>
          <w:lang w:val="uk-UA"/>
        </w:rPr>
        <w:t>льні цінності; права користуван</w:t>
      </w:r>
      <w:r w:rsidRPr="00300E3A">
        <w:rPr>
          <w:lang w:val="uk-UA"/>
        </w:rPr>
        <w:t>ня землею, водою, ресурсами, спорудами, обладнанням (оренда); інші майнові права.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00E3A">
        <w:rPr>
          <w:lang w:val="uk-UA"/>
        </w:rPr>
        <w:t xml:space="preserve">З погляду тривалості періоду обігу всі цінні папери доцільно поділити на дві основні групи: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31"/>
      </w:r>
      <w:r>
        <w:sym w:font="Symbol" w:char="F029"/>
      </w:r>
      <w:r w:rsidRPr="00300E3A">
        <w:rPr>
          <w:lang w:val="uk-UA"/>
        </w:rPr>
        <w:t xml:space="preserve"> інструменти грошового ринку — цінні папери з періодом обігу до року, характеризуються низькою дохідністю, низьким ризиком і високою ліквідністю; </w:t>
      </w:r>
    </w:p>
    <w:p w:rsid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32"/>
      </w:r>
      <w:r>
        <w:sym w:font="Symbol" w:char="F029"/>
      </w:r>
      <w:r w:rsidRPr="00300E3A">
        <w:rPr>
          <w:lang w:val="uk-UA"/>
        </w:rPr>
        <w:t xml:space="preserve"> інструменти ринку капіталів, які мають строк погашення понад рік і в цілому характеризуються вищою </w:t>
      </w:r>
      <w:r>
        <w:rPr>
          <w:lang w:val="uk-UA"/>
        </w:rPr>
        <w:t>дохідністю та підвищеною ризико</w:t>
      </w:r>
      <w:r w:rsidRPr="00300E3A">
        <w:rPr>
          <w:lang w:val="uk-UA"/>
        </w:rPr>
        <w:t xml:space="preserve">ваністю; ліквідність їх залежить від особливостей ринку. </w:t>
      </w:r>
    </w:p>
    <w:p w:rsidR="00300E3A" w:rsidRPr="00300E3A" w:rsidRDefault="00300E3A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Таким чином, лише вкладення в інструменти ринку капіталів можуть бути віднесені до інвестицій</w:t>
      </w:r>
    </w:p>
    <w:p w:rsidR="00300E3A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lastRenderedPageBreak/>
        <w:t>Далі йтиметься про банківський портфель цінних паперів, а під інвестиціями розумітимемо лише фінансову форму</w:t>
      </w:r>
      <w:r>
        <w:rPr>
          <w:lang w:val="uk-UA"/>
        </w:rPr>
        <w:t xml:space="preserve"> інвесту</w:t>
      </w:r>
      <w:r w:rsidRPr="008E20ED">
        <w:rPr>
          <w:lang w:val="uk-UA"/>
        </w:rPr>
        <w:t>вання, тобто вкладення в довгострокові цінні папери, паї, частки, статутні фонди</w:t>
      </w:r>
      <w:r>
        <w:rPr>
          <w:lang w:val="uk-UA"/>
        </w:rPr>
        <w:t>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u w:val="single"/>
        </w:rPr>
        <w:t>Нормативи інвестування</w:t>
      </w:r>
      <w:r>
        <w:t xml:space="preserve"> характеризують використання капіталу банку для придбання акцій, корпоративних боргових зобов’язань, вкладень в асоційовані та дочірні компанії (часток, паїв)</w:t>
      </w:r>
      <w:r>
        <w:rPr>
          <w:lang w:val="uk-UA"/>
        </w:rPr>
        <w:t>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b/>
        </w:rPr>
        <w:t xml:space="preserve">Норматив інвестування в цінні папери окремо за </w:t>
      </w:r>
      <w:proofErr w:type="gramStart"/>
      <w:r w:rsidRPr="008E20ED">
        <w:rPr>
          <w:b/>
        </w:rPr>
        <w:t>кожною</w:t>
      </w:r>
      <w:proofErr w:type="gramEnd"/>
      <w:r w:rsidRPr="008E20ED">
        <w:rPr>
          <w:b/>
        </w:rPr>
        <w:t xml:space="preserve"> установою (Н11)</w:t>
      </w:r>
      <w:r>
        <w:t xml:space="preserve"> визначається відношенням суми коштів, інвестованих на придбання акцій (паїв, часток) окремо за кожним емітентом, до регулятивного капіталу банку. Нормативне значення має не перевищувати 15%.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b/>
          <w:lang w:val="uk-UA"/>
        </w:rPr>
        <w:t>Норматив загальної суми інвестування (Н12)</w:t>
      </w:r>
      <w:r w:rsidRPr="008E20ED">
        <w:rPr>
          <w:lang w:val="uk-UA"/>
        </w:rPr>
        <w:t xml:space="preserve"> визначається відношенням суми коштів, що інвестуються (придбання акцій та інших цінних паперів з нефік</w:t>
      </w:r>
      <w:r>
        <w:rPr>
          <w:lang w:val="uk-UA"/>
        </w:rPr>
        <w:t>сованим прибутком будь-якої юри</w:t>
      </w:r>
      <w:r w:rsidRPr="008E20ED">
        <w:rPr>
          <w:lang w:val="uk-UA"/>
        </w:rPr>
        <w:t>дичної особи у портфелях банку на продаж та на інвест</w:t>
      </w:r>
      <w:r>
        <w:rPr>
          <w:lang w:val="uk-UA"/>
        </w:rPr>
        <w:t>иції, а та</w:t>
      </w:r>
      <w:r w:rsidRPr="008E20ED">
        <w:rPr>
          <w:lang w:val="uk-UA"/>
        </w:rPr>
        <w:t xml:space="preserve">кож вкладення в асоційовані та </w:t>
      </w:r>
      <w:r>
        <w:rPr>
          <w:lang w:val="uk-UA"/>
        </w:rPr>
        <w:t>дочірні компанії), до регулятив</w:t>
      </w:r>
      <w:r w:rsidRPr="008E20ED">
        <w:rPr>
          <w:lang w:val="uk-UA"/>
        </w:rPr>
        <w:t xml:space="preserve">ного капіталу банку. </w:t>
      </w:r>
      <w:r>
        <w:t xml:space="preserve">Нормативне значення має не перевищувати для універсальних банків </w:t>
      </w:r>
      <w:r>
        <w:rPr>
          <w:lang w:val="uk-UA"/>
        </w:rPr>
        <w:t>-</w:t>
      </w:r>
      <w:r>
        <w:t xml:space="preserve"> 60%, для клі</w:t>
      </w:r>
      <w:proofErr w:type="gramStart"/>
      <w:r>
        <w:t>р</w:t>
      </w:r>
      <w:proofErr w:type="gramEnd"/>
      <w:r>
        <w:t xml:space="preserve">інгових </w:t>
      </w:r>
      <w:r>
        <w:rPr>
          <w:lang w:val="uk-UA"/>
        </w:rPr>
        <w:t>-</w:t>
      </w:r>
      <w:r>
        <w:t xml:space="preserve"> 10%, для інвестиційних </w:t>
      </w:r>
      <w:r>
        <w:rPr>
          <w:lang w:val="uk-UA"/>
        </w:rPr>
        <w:t>-</w:t>
      </w:r>
      <w:r>
        <w:t xml:space="preserve"> 90%.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>Згідн</w:t>
      </w:r>
      <w:r>
        <w:rPr>
          <w:lang w:val="uk-UA"/>
        </w:rPr>
        <w:t>о з нормативних вимогами НБУ,</w:t>
      </w:r>
      <w:r w:rsidRPr="008E20ED">
        <w:rPr>
          <w:lang w:val="uk-UA"/>
        </w:rPr>
        <w:t xml:space="preserve"> інвестиції банку в цінні папери для їх оцінки та відображення у б</w:t>
      </w:r>
      <w:r>
        <w:rPr>
          <w:lang w:val="uk-UA"/>
        </w:rPr>
        <w:t>ухгалтерському обліку класифіку</w:t>
      </w:r>
      <w:r w:rsidRPr="008E20ED">
        <w:rPr>
          <w:lang w:val="uk-UA"/>
        </w:rPr>
        <w:t xml:space="preserve">ються так: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операції з цінними паперами в торговому портфелі;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операції з цінними паперами в портфелі на продаж;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операції з цінними паперами в портфелі до погашення;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інвестиції в асоційовані та дочірні компанії.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b/>
          <w:lang w:val="uk-UA"/>
        </w:rPr>
        <w:t>Торговий портфель</w:t>
      </w:r>
      <w:r w:rsidRPr="008E20ED">
        <w:rPr>
          <w:lang w:val="uk-UA"/>
        </w:rPr>
        <w:t xml:space="preserve"> формується з боргових цінних паперів та акцій, придбаних банком для отримання прибутку від короткотермінових коливань ринкової ціни цих інструментів. </w:t>
      </w:r>
      <w:r>
        <w:rPr>
          <w:lang w:val="uk-UA"/>
        </w:rPr>
        <w:t>Д</w:t>
      </w:r>
      <w:r w:rsidRPr="008E20ED">
        <w:rPr>
          <w:lang w:val="uk-UA"/>
        </w:rPr>
        <w:t>о банківського торгового портфеля слід включати л</w:t>
      </w:r>
      <w:r>
        <w:rPr>
          <w:lang w:val="uk-UA"/>
        </w:rPr>
        <w:t>ише ті цінні папери, які оберта</w:t>
      </w:r>
      <w:r w:rsidRPr="008E20ED">
        <w:rPr>
          <w:lang w:val="uk-UA"/>
        </w:rPr>
        <w:t xml:space="preserve">ються на активному та високоліквідному ринку. </w:t>
      </w:r>
      <w:r w:rsidRPr="000A17D0">
        <w:rPr>
          <w:lang w:val="uk-UA"/>
        </w:rPr>
        <w:t xml:space="preserve">Цінні папери в торговому портфелі підлягають переоцінці під час кожної зміни їхньої ринкової вартості.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b/>
          <w:lang w:val="uk-UA"/>
        </w:rPr>
        <w:t>Портфель на продаж</w:t>
      </w:r>
      <w:r w:rsidRPr="008E20ED">
        <w:rPr>
          <w:lang w:val="uk-UA"/>
        </w:rPr>
        <w:t xml:space="preserve"> включає: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 xml:space="preserve"> </w:t>
      </w:r>
      <w:r>
        <w:sym w:font="Symbol" w:char="F0B7"/>
      </w:r>
      <w:r w:rsidRPr="008E20ED">
        <w:rPr>
          <w:lang w:val="uk-UA"/>
        </w:rPr>
        <w:t xml:space="preserve"> боргові цінні папери з фіксованою датою погашення, які банк не має наміру тримати до настання дати погашення;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цінні папери, які банк готовий продати у зв’язку зі зміною ринкових відсоткових ставок, виникнення потреби у ліквідних коштах, наявності альтернативних напрямів інвестування;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акції та боргові цінні папе</w:t>
      </w:r>
      <w:r>
        <w:rPr>
          <w:lang w:val="uk-UA"/>
        </w:rPr>
        <w:t>ри, за якими неможливо достовір</w:t>
      </w:r>
      <w:r w:rsidRPr="008E20ED">
        <w:rPr>
          <w:lang w:val="uk-UA"/>
        </w:rPr>
        <w:t xml:space="preserve">но визначити справедливу вартість;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фінансові інвестиції в асоційовані та дочірні компанії, які придбані та утримуються викл</w:t>
      </w:r>
      <w:r>
        <w:rPr>
          <w:lang w:val="uk-UA"/>
        </w:rPr>
        <w:t>ючно для продажу протягом 12 мі</w:t>
      </w:r>
      <w:r w:rsidRPr="008E20ED">
        <w:rPr>
          <w:lang w:val="uk-UA"/>
        </w:rPr>
        <w:t xml:space="preserve">сяців з дати придбання;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8E20ED">
        <w:rPr>
          <w:lang w:val="uk-UA"/>
        </w:rPr>
        <w:t xml:space="preserve"> інші цінні папери, придбані для п</w:t>
      </w:r>
      <w:r>
        <w:rPr>
          <w:lang w:val="uk-UA"/>
        </w:rPr>
        <w:t>родажу до настання дати їх пога</w:t>
      </w:r>
      <w:r w:rsidRPr="008E20ED">
        <w:rPr>
          <w:lang w:val="uk-UA"/>
        </w:rPr>
        <w:t>шення.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b/>
          <w:lang w:val="uk-UA"/>
        </w:rPr>
        <w:t>П</w:t>
      </w:r>
      <w:r w:rsidRPr="008E20ED">
        <w:rPr>
          <w:b/>
        </w:rPr>
        <w:t>ортфель до погашення</w:t>
      </w:r>
      <w:r>
        <w:t xml:space="preserve"> формується з боргових цінних паперів з фіксованими платежами (або платежами, які можна чітко визначити) та </w:t>
      </w:r>
      <w:r>
        <w:lastRenderedPageBreak/>
        <w:t>фіксованими строками погашення, які банк має намір та здатність утримувати до строку погашення для одержання процентних доходів.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>До інвестицій в асоційовані та</w:t>
      </w:r>
      <w:r>
        <w:rPr>
          <w:lang w:val="uk-UA"/>
        </w:rPr>
        <w:t xml:space="preserve"> дочірні компанії належать пайо</w:t>
      </w:r>
      <w:r w:rsidRPr="008E20ED">
        <w:rPr>
          <w:lang w:val="uk-UA"/>
        </w:rPr>
        <w:t>ві цінні папери емітентів, які в</w:t>
      </w:r>
      <w:r>
        <w:rPr>
          <w:lang w:val="uk-UA"/>
        </w:rPr>
        <w:t>ідповідають визначенням асоційо</w:t>
      </w:r>
      <w:r w:rsidRPr="008E20ED">
        <w:rPr>
          <w:lang w:val="uk-UA"/>
        </w:rPr>
        <w:t>ваної чи дочірньої компанії банку, за винятком тих цінних паперів, які придбані та утриму</w:t>
      </w:r>
      <w:r>
        <w:rPr>
          <w:lang w:val="uk-UA"/>
        </w:rPr>
        <w:t>ються банком виключно для прода</w:t>
      </w:r>
      <w:r w:rsidRPr="008E20ED">
        <w:rPr>
          <w:lang w:val="uk-UA"/>
        </w:rPr>
        <w:t>жу протягом 12 місяців з дати придбання</w:t>
      </w:r>
      <w:r>
        <w:rPr>
          <w:lang w:val="uk-UA"/>
        </w:rPr>
        <w:t>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 xml:space="preserve">Цінний папір відноситься до певного портфеля залежно від таких чинників: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наміри інвестора під час придбання тривалість періоду та мета придбання;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характеристики цінного пап</w:t>
      </w:r>
      <w:r>
        <w:rPr>
          <w:lang w:val="uk-UA"/>
        </w:rPr>
        <w:t>ера, такі як ліквідність, дохід</w:t>
      </w:r>
      <w:r w:rsidRPr="008E20ED">
        <w:rPr>
          <w:lang w:val="uk-UA"/>
        </w:rPr>
        <w:t xml:space="preserve">ність та наявність активно діючого ринку; 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фактичний період зберігання у портфелі банку.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>У разі зміни намірів банку щодо придбаних цінних паперів або їх характеристик (зміни в фінансовому стані емітента, рівні ліквідності ринку тощо) цінні папери можуть переводитись з одного портфеля до іншого.</w:t>
      </w:r>
    </w:p>
    <w:p w:rsidR="008E20ED" w:rsidRDefault="008E20ED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</w:p>
    <w:p w:rsidR="008E20ED" w:rsidRDefault="008E20ED" w:rsidP="008E20ED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8E20ED">
        <w:rPr>
          <w:b/>
        </w:rPr>
        <w:t>Стратегії формування портфеля цінних папері</w:t>
      </w:r>
      <w:proofErr w:type="gramStart"/>
      <w:r w:rsidRPr="008E20ED">
        <w:rPr>
          <w:b/>
        </w:rPr>
        <w:t>в</w:t>
      </w:r>
      <w:proofErr w:type="gramEnd"/>
      <w:r w:rsidRPr="008E20ED">
        <w:rPr>
          <w:b/>
          <w:lang w:val="uk-UA"/>
        </w:rPr>
        <w:t>.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 xml:space="preserve">У банківській практиці виділяють два основні підходи до управління портфелем цінних паперів, які називають пасивною й активною інвестиційною політикою.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 xml:space="preserve">Головні характеристики </w:t>
      </w:r>
      <w:r w:rsidRPr="008E20ED">
        <w:rPr>
          <w:b/>
          <w:lang w:val="uk-UA"/>
        </w:rPr>
        <w:t>пасивної інвестиційної політики</w:t>
      </w:r>
      <w:r w:rsidRPr="008E20ED">
        <w:rPr>
          <w:lang w:val="uk-UA"/>
        </w:rPr>
        <w:t xml:space="preserve">: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8E20ED">
        <w:rPr>
          <w:lang w:val="uk-UA"/>
        </w:rPr>
        <w:t xml:space="preserve">інвестиції мають довгостроковий характер;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8E20ED">
        <w:rPr>
          <w:lang w:val="uk-UA"/>
        </w:rPr>
        <w:t xml:space="preserve">незначні обороти за операціями купівлі-продажу цінних паперів;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8E20ED">
        <w:rPr>
          <w:lang w:val="uk-UA"/>
        </w:rPr>
        <w:t xml:space="preserve">високий рівень диверсифікації, частка окремих цінних паперів мала, ризик збалансований;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8E20ED">
        <w:rPr>
          <w:lang w:val="uk-UA"/>
        </w:rPr>
        <w:t xml:space="preserve">результатом є формування пасивного портфеля.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 xml:space="preserve">Для </w:t>
      </w:r>
      <w:r w:rsidRPr="008E20ED">
        <w:rPr>
          <w:b/>
          <w:lang w:val="uk-UA"/>
        </w:rPr>
        <w:t>активної інвестиційної політики</w:t>
      </w:r>
      <w:r w:rsidRPr="008E20ED">
        <w:rPr>
          <w:lang w:val="uk-UA"/>
        </w:rPr>
        <w:t xml:space="preserve"> є характерним: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активна гра на підвищен</w:t>
      </w:r>
      <w:r>
        <w:rPr>
          <w:lang w:val="uk-UA"/>
        </w:rPr>
        <w:t>ня з недооціненими цінними папе</w:t>
      </w:r>
      <w:r w:rsidRPr="008E20ED">
        <w:rPr>
          <w:lang w:val="uk-UA"/>
        </w:rPr>
        <w:t xml:space="preserve">рами;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активна гра на зниження з цінними паперами із завищеною ціною;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великі обороти за операціями купівлі-продажу цінних паперів;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в основному короткостроковий характер інвестицій;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низький рівень диверсифікації;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висока концентрація окремих ризикованих цінних паперів;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спекулятивний характер і високий рівень ризикованості; </w:t>
      </w:r>
    </w:p>
    <w:p w:rsid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8E20ED">
        <w:rPr>
          <w:lang w:val="uk-UA"/>
        </w:rPr>
        <w:t xml:space="preserve"> результатом є формування активного портфеля.</w:t>
      </w:r>
    </w:p>
    <w:p w:rsidR="00111E68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8E20ED">
        <w:rPr>
          <w:lang w:val="uk-UA"/>
        </w:rPr>
        <w:t xml:space="preserve"> </w:t>
      </w:r>
      <w:r>
        <w:t>Відповідно до обраної інвестиційної політики банківські портфелі цінних папері</w:t>
      </w:r>
      <w:proofErr w:type="gramStart"/>
      <w:r>
        <w:t>в</w:t>
      </w:r>
      <w:proofErr w:type="gramEnd"/>
      <w:r>
        <w:t xml:space="preserve"> поділяються на два основних типи — пасивні й активні. </w:t>
      </w:r>
    </w:p>
    <w:p w:rsidR="00111E68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b/>
          <w:lang w:val="uk-UA"/>
        </w:rPr>
        <w:t>Пасивні портфелі цінних паперів</w:t>
      </w:r>
      <w:r w:rsidRPr="00111E68">
        <w:rPr>
          <w:lang w:val="uk-UA"/>
        </w:rPr>
        <w:t xml:space="preserve"> добре диверсифіковані, а їх ліквідність, ризик і дохідність відповідають середньоринковим. Формуючи такі портфелі менеджм</w:t>
      </w:r>
      <w:r w:rsidR="00111E68" w:rsidRPr="00111E68">
        <w:rPr>
          <w:lang w:val="uk-UA"/>
        </w:rPr>
        <w:t>ент не включає до їх складу різ</w:t>
      </w:r>
      <w:r w:rsidRPr="00111E68">
        <w:rPr>
          <w:lang w:val="uk-UA"/>
        </w:rPr>
        <w:t xml:space="preserve">ко недооцінені або високоризикові (спекулятивні) цінні папери, тобто банк ніби «пливе за течією». </w:t>
      </w:r>
      <w:r>
        <w:t xml:space="preserve">Прикладом може бути формування індексних портфелів, до яких включають ті </w:t>
      </w:r>
      <w:r>
        <w:lastRenderedPageBreak/>
        <w:t xml:space="preserve">самі цінні папери, </w:t>
      </w:r>
      <w:proofErr w:type="gramStart"/>
      <w:r>
        <w:t>на</w:t>
      </w:r>
      <w:proofErr w:type="gramEnd"/>
      <w:r>
        <w:t xml:space="preserve"> основі яких розраховується певний фондовий індекс. Ринкова ці</w:t>
      </w:r>
      <w:proofErr w:type="gramStart"/>
      <w:r>
        <w:t>на</w:t>
      </w:r>
      <w:proofErr w:type="gramEnd"/>
      <w:r>
        <w:t xml:space="preserve"> такого портфеля </w:t>
      </w:r>
      <w:r w:rsidR="00111E68">
        <w:t>прямує за рухом фондового індек</w:t>
      </w:r>
      <w:r>
        <w:t>су.</w:t>
      </w:r>
    </w:p>
    <w:p w:rsidR="00111E68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lang w:val="uk-UA"/>
        </w:rPr>
        <w:t xml:space="preserve"> Перевагами є мінімізація ви</w:t>
      </w:r>
      <w:r w:rsidR="00111E68">
        <w:rPr>
          <w:lang w:val="uk-UA"/>
        </w:rPr>
        <w:t>трат на аналітичну підтримку ін</w:t>
      </w:r>
      <w:r w:rsidRPr="00111E68">
        <w:rPr>
          <w:lang w:val="uk-UA"/>
        </w:rPr>
        <w:t>дексного портфеля та витрат ба</w:t>
      </w:r>
      <w:r w:rsidR="00111E68">
        <w:rPr>
          <w:lang w:val="uk-UA"/>
        </w:rPr>
        <w:t>нку, пов’язаних з виходом на ри</w:t>
      </w:r>
      <w:r w:rsidRPr="00111E68">
        <w:rPr>
          <w:lang w:val="uk-UA"/>
        </w:rPr>
        <w:t xml:space="preserve">нок (комісійні, біржові, гарантійні внески). </w:t>
      </w:r>
    </w:p>
    <w:p w:rsidR="00111E68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b/>
        </w:rPr>
        <w:t>Активні портфелі</w:t>
      </w:r>
      <w:r>
        <w:t xml:space="preserve"> включають цінні папери, курси яких нині (або у перспективі) </w:t>
      </w:r>
      <w:proofErr w:type="gramStart"/>
      <w:r>
        <w:t>р</w:t>
      </w:r>
      <w:proofErr w:type="gramEnd"/>
      <w:r>
        <w:t>ізко відхиля</w:t>
      </w:r>
      <w:r w:rsidR="00111E68">
        <w:t>ються від цін, визначених серед</w:t>
      </w:r>
      <w:r>
        <w:t>ньоринковими умовами, і можуть зазнавати сильних коливань. Склад такого портфеля активно регулюється, спираючись</w:t>
      </w:r>
      <w:r w:rsidR="00111E68">
        <w:t xml:space="preserve"> на пос</w:t>
      </w:r>
      <w:r>
        <w:t xml:space="preserve">тійний докладний аналіз кон’юнктури ринку. </w:t>
      </w:r>
    </w:p>
    <w:p w:rsidR="00111E68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Характерною рисою активного портфеля є зн</w:t>
      </w:r>
      <w:r w:rsidR="00111E68">
        <w:t>ачні обороти за операціями купі</w:t>
      </w:r>
      <w:r>
        <w:t>вл</w:t>
      </w:r>
      <w:proofErr w:type="gramStart"/>
      <w:r>
        <w:t>і-</w:t>
      </w:r>
      <w:proofErr w:type="gramEnd"/>
      <w:r>
        <w:t>продажу фінансових інструм</w:t>
      </w:r>
      <w:r w:rsidR="00111E68">
        <w:t>ентів для відновлення його скла</w:t>
      </w:r>
      <w:r>
        <w:t>ду. Активні портфелі формуються певною мірою «проти ринку», тому інвестиційний менеджер п</w:t>
      </w:r>
      <w:r w:rsidR="00111E68">
        <w:t xml:space="preserve">остійно приймає </w:t>
      </w:r>
      <w:proofErr w:type="gramStart"/>
      <w:r w:rsidR="00111E68">
        <w:t>р</w:t>
      </w:r>
      <w:proofErr w:type="gramEnd"/>
      <w:r w:rsidR="00111E68">
        <w:t>ішення, намага</w:t>
      </w:r>
      <w:r>
        <w:t>ючись «побити ринок», а не «пл</w:t>
      </w:r>
      <w:r w:rsidR="00111E68">
        <w:t>ивти за його течією». Виграш до</w:t>
      </w:r>
      <w:r>
        <w:t>сягається завдяки купі</w:t>
      </w:r>
      <w:proofErr w:type="gramStart"/>
      <w:r>
        <w:t>вл</w:t>
      </w:r>
      <w:proofErr w:type="gramEnd"/>
      <w:r>
        <w:t>і цінних</w:t>
      </w:r>
      <w:r w:rsidR="00111E68">
        <w:t xml:space="preserve"> паперів на нижніх точках поточ</w:t>
      </w:r>
      <w:r>
        <w:t>них коливань курсової ціни та продажу їх на ринку на верхніх точках.</w:t>
      </w:r>
    </w:p>
    <w:p w:rsidR="008E20ED" w:rsidRPr="008E20ED" w:rsidRDefault="008E20ED" w:rsidP="008E20ED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lang w:val="uk-UA"/>
        </w:rPr>
        <w:t xml:space="preserve"> Інший варіант формування активного портфеля — це пошук і придбання недооцінених паперів, наприклад, у розрахунку на одиницю переробленої емітентом нафти, газу тощо, порівняно з цінними паперами аналогічних підприємств. </w:t>
      </w:r>
      <w:r w:rsidR="00111E68" w:rsidRPr="00111E68">
        <w:rPr>
          <w:lang w:val="uk-UA"/>
        </w:rPr>
        <w:t>У цьому разі актив</w:t>
      </w:r>
      <w:r w:rsidRPr="00111E68">
        <w:rPr>
          <w:lang w:val="uk-UA"/>
        </w:rPr>
        <w:t>ний портфель забезпечує підвищ</w:t>
      </w:r>
      <w:r w:rsidR="00111E68">
        <w:rPr>
          <w:lang w:val="uk-UA"/>
        </w:rPr>
        <w:t>ену дохідність за рахунок трива</w:t>
      </w:r>
      <w:r w:rsidRPr="00111E68">
        <w:rPr>
          <w:lang w:val="uk-UA"/>
        </w:rPr>
        <w:t>лого росту курсової вартості цінних паперів за тих самих значень ліквідності та ризику, що і в пасивному портфелі.</w:t>
      </w:r>
    </w:p>
    <w:p w:rsidR="00111E68" w:rsidRPr="00111E68" w:rsidRDefault="00111E68" w:rsidP="00300E3A">
      <w:pPr>
        <w:tabs>
          <w:tab w:val="left" w:pos="993"/>
        </w:tabs>
        <w:spacing w:line="240" w:lineRule="auto"/>
        <w:ind w:firstLine="709"/>
        <w:rPr>
          <w:b/>
          <w:lang w:val="uk-UA"/>
        </w:rPr>
      </w:pPr>
      <w:proofErr w:type="gramStart"/>
      <w:r>
        <w:t>З</w:t>
      </w:r>
      <w:proofErr w:type="gramEnd"/>
      <w:r>
        <w:t xml:space="preserve"> погляду завдань, що постають перед менеджментом у процесі формування банківського портфеля цінних паперів, виділяють </w:t>
      </w:r>
      <w:r w:rsidRPr="00111E68">
        <w:rPr>
          <w:b/>
        </w:rPr>
        <w:t xml:space="preserve">кілька типів портфелів.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1. </w:t>
      </w:r>
      <w:r w:rsidRPr="00111E68">
        <w:rPr>
          <w:b/>
        </w:rPr>
        <w:t>Портфель росту</w:t>
      </w:r>
      <w:r>
        <w:t xml:space="preserve"> орієнтований на придбання цінних паперів, ринкова вартість яких швидко зроста</w:t>
      </w:r>
      <w:proofErr w:type="gramStart"/>
      <w:r>
        <w:t>є.</w:t>
      </w:r>
      <w:proofErr w:type="gramEnd"/>
      <w:r>
        <w:t xml:space="preserve"> Мета створення такого портфеля полягає в нарощуванні капіталу інвесторів. Тому значна частина прибутків спрямовується на поповнення капіталу, а проценти, доходи, дивіденди виплачуються власникам у невеликому розмірі або взагалі не виплачуються.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proofErr w:type="gramStart"/>
      <w:r>
        <w:t>До</w:t>
      </w:r>
      <w:proofErr w:type="gramEnd"/>
      <w:r>
        <w:t xml:space="preserve"> </w:t>
      </w:r>
      <w:proofErr w:type="gramStart"/>
      <w:r>
        <w:t>складу</w:t>
      </w:r>
      <w:proofErr w:type="gramEnd"/>
      <w:r>
        <w:t xml:space="preserve"> такого портфеля включають насамперед акції; приватизаційні папери; папери, що засвідчують право власності на паї; інші цінні папери з невизначеним доходом.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2. </w:t>
      </w:r>
      <w:r w:rsidRPr="00111E68">
        <w:rPr>
          <w:b/>
        </w:rPr>
        <w:t>Портфель доходу</w:t>
      </w:r>
      <w:r>
        <w:t xml:space="preserve"> служить для одержання високих поточних надходжень: рентних платежів, процентних виплат, дивіденді</w:t>
      </w:r>
      <w:proofErr w:type="gramStart"/>
      <w:r>
        <w:t>в</w:t>
      </w:r>
      <w:proofErr w:type="gramEnd"/>
      <w:r>
        <w:t xml:space="preserve">. Для такого портфеля відношення стабільно отримуваного доходу до ринкової вартості цінних паперів, що входять до його складу, вище за середньоринкове значення. Відповідно ринкова вартість такого портфеля зростає повільно.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lang w:val="uk-UA"/>
        </w:rPr>
        <w:t xml:space="preserve">Портфель доходу формується здебільшого з ощадних сертифікатів, облігацій, привілейованих акцій, казначейських зобов’язань.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t>3.</w:t>
      </w:r>
      <w:r w:rsidRPr="00111E68">
        <w:rPr>
          <w:b/>
        </w:rPr>
        <w:t xml:space="preserve"> Портфель ризикового капіталу</w:t>
      </w:r>
      <w:r>
        <w:t xml:space="preserve"> складається переважно з цінних паперів і паїв молодих компаній, що проводять </w:t>
      </w:r>
      <w:proofErr w:type="gramStart"/>
      <w:r>
        <w:t>на</w:t>
      </w:r>
      <w:proofErr w:type="gramEnd"/>
      <w:r>
        <w:t xml:space="preserve"> ринку агресивну стратегію швидкого розширення. Формування такого портфеля має на меті отримання надприбутків за рахунок придбання акцій, приватизаційних паперів, векселів у момент, коли вони </w:t>
      </w:r>
      <w:proofErr w:type="gramStart"/>
      <w:r>
        <w:t>р</w:t>
      </w:r>
      <w:proofErr w:type="gramEnd"/>
      <w:r>
        <w:t xml:space="preserve">ізко недооцінені на ринку.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lastRenderedPageBreak/>
        <w:t>До складу такого портфеля можуть входити деривативи, операції з якими проводяться для одержання спекулятивних прибуткі</w:t>
      </w:r>
      <w:proofErr w:type="gramStart"/>
      <w:r>
        <w:t>в</w:t>
      </w:r>
      <w:proofErr w:type="gramEnd"/>
      <w:r>
        <w:t xml:space="preserve"> за рахунок сприятливих змін у їхній ціні. </w:t>
      </w:r>
    </w:p>
    <w:p w:rsidR="008E20ED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lang w:val="uk-UA"/>
        </w:rPr>
        <w:t xml:space="preserve">4. </w:t>
      </w:r>
      <w:r w:rsidRPr="00111E68">
        <w:rPr>
          <w:b/>
          <w:lang w:val="uk-UA"/>
        </w:rPr>
        <w:t>Збалансований портфель</w:t>
      </w:r>
      <w:r w:rsidRPr="00111E68">
        <w:rPr>
          <w:lang w:val="uk-UA"/>
        </w:rPr>
        <w:t xml:space="preserve"> має на меті досягнення декількох цілей: нарощування капіталу,</w:t>
      </w:r>
      <w:r>
        <w:rPr>
          <w:lang w:val="uk-UA"/>
        </w:rPr>
        <w:t xml:space="preserve"> отримання високого доходу, під</w:t>
      </w:r>
      <w:r w:rsidRPr="00111E68">
        <w:rPr>
          <w:lang w:val="uk-UA"/>
        </w:rPr>
        <w:t xml:space="preserve">тримка ліквідності.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складу</w:t>
      </w:r>
      <w:proofErr w:type="gramEnd"/>
      <w:r>
        <w:t xml:space="preserve"> такого портфеля можуть включатися цінні папери зі швидко зростаючою ринковою ціною, високоприбуткові цінні папери. Висока ризикованість таких вкладень компенсується за рахунок придбання низькоризикованих та високоліквідних цінних папері</w:t>
      </w:r>
      <w:proofErr w:type="gramStart"/>
      <w:r>
        <w:t>в</w:t>
      </w:r>
      <w:proofErr w:type="gramEnd"/>
      <w:r>
        <w:t xml:space="preserve"> (</w:t>
      </w:r>
      <w:proofErr w:type="gramStart"/>
      <w:r>
        <w:t>як</w:t>
      </w:r>
      <w:proofErr w:type="gramEnd"/>
      <w:r>
        <w:t xml:space="preserve"> правило, казначейських зобов’язань уряду), що дозволяє знизити сукупний ризик портфеля. Фактично </w:t>
      </w:r>
      <w:proofErr w:type="gramStart"/>
      <w:r>
        <w:t>п</w:t>
      </w:r>
      <w:proofErr w:type="gramEnd"/>
      <w:r>
        <w:t>ід час формування збалансованого портфеля застосовується метод диверсифікації.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5</w:t>
      </w:r>
      <w:r w:rsidRPr="00111E68">
        <w:rPr>
          <w:b/>
        </w:rPr>
        <w:t>. Спеціалізований портфель</w:t>
      </w:r>
      <w:r>
        <w:t xml:space="preserve"> формується з огляду не на загальний цільовий критерій, а за окремими критеріями, </w:t>
      </w:r>
      <w:proofErr w:type="gramStart"/>
      <w:r>
        <w:t>такими</w:t>
      </w:r>
      <w:proofErr w:type="gramEnd"/>
      <w:r>
        <w:t xml:space="preserve"> як вид цінних паперів, галузева чи регіональна належність, вид ризику, період обігу. Наприклад, залежно від критерію банк може сформувати такі спеціалізовані портфелі цінних папері</w:t>
      </w:r>
      <w:proofErr w:type="gramStart"/>
      <w:r>
        <w:t>в</w:t>
      </w:r>
      <w:proofErr w:type="gramEnd"/>
      <w:r>
        <w:t xml:space="preserve">: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портфель короткострокових цінних паперів;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портфель середньо- і довгострокових паперів з фіксованим доходом, сформований з облігацій;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галузевий портфель, який складається з цінних паперів емітентів однієї галузі, наприк</w:t>
      </w:r>
      <w:r>
        <w:rPr>
          <w:lang w:val="uk-UA"/>
        </w:rPr>
        <w:t>лад, енергетики чи нафтової про</w:t>
      </w:r>
      <w:r w:rsidRPr="00111E68">
        <w:rPr>
          <w:lang w:val="uk-UA"/>
        </w:rPr>
        <w:t xml:space="preserve">мисловості;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портфель іноземних цінних паперів;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портфель державних цінних паперів </w:t>
      </w:r>
      <w:r>
        <w:rPr>
          <w:lang w:val="uk-UA"/>
        </w:rPr>
        <w:t>-</w:t>
      </w:r>
      <w:r w:rsidRPr="00111E68">
        <w:rPr>
          <w:lang w:val="uk-UA"/>
        </w:rPr>
        <w:t xml:space="preserve"> облігації уряду та місцевих органів влади, казначейські зобов’язання.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111E68">
        <w:rPr>
          <w:lang w:val="uk-UA"/>
        </w:rPr>
        <w:t xml:space="preserve">З погляду </w:t>
      </w:r>
      <w:r w:rsidRPr="00111E68">
        <w:rPr>
          <w:b/>
          <w:lang w:val="uk-UA"/>
        </w:rPr>
        <w:t>надійності</w:t>
      </w:r>
      <w:r w:rsidRPr="00111E68">
        <w:rPr>
          <w:lang w:val="uk-UA"/>
        </w:rPr>
        <w:t xml:space="preserve"> портфель цінних паперів банку оцінюється за критеріями: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рівень сукупного ризику портфеля;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практика використання методів зниження ризику, таких як диверсифікація і хеджування;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ступінь ліквідності портфеля;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співвідношення середньозваженого строку погашення портфеля та тривалості планового періоду інвестування (інвестиційного горизонту); </w:t>
      </w:r>
    </w:p>
    <w:p w:rsidR="00111E68" w:rsidRDefault="00111E6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111E68">
        <w:rPr>
          <w:lang w:val="uk-UA"/>
        </w:rPr>
        <w:t xml:space="preserve"> відповідність цілям, яки</w:t>
      </w:r>
      <w:r>
        <w:rPr>
          <w:lang w:val="uk-UA"/>
        </w:rPr>
        <w:t>х прагне досягти банк за допомо</w:t>
      </w:r>
      <w:r w:rsidRPr="00111E68">
        <w:rPr>
          <w:lang w:val="uk-UA"/>
        </w:rPr>
        <w:t>гою портфеля.</w:t>
      </w:r>
    </w:p>
    <w:p w:rsidR="006C6532" w:rsidRDefault="006C6532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</w:p>
    <w:p w:rsidR="006C6532" w:rsidRPr="006C6532" w:rsidRDefault="006C6532" w:rsidP="006C6532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6C6532">
        <w:rPr>
          <w:b/>
        </w:rPr>
        <w:t>Методи визначення дохідності портфеля цінних папері</w:t>
      </w:r>
      <w:proofErr w:type="gramStart"/>
      <w:r w:rsidRPr="006C6532">
        <w:rPr>
          <w:b/>
        </w:rPr>
        <w:t>в</w:t>
      </w:r>
      <w:proofErr w:type="gramEnd"/>
      <w:r w:rsidRPr="006C6532">
        <w:rPr>
          <w:b/>
          <w:lang w:val="uk-UA"/>
        </w:rPr>
        <w:t>.</w:t>
      </w:r>
    </w:p>
    <w:p w:rsidR="00C21F38" w:rsidRDefault="00C21F3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21F38">
        <w:rPr>
          <w:lang w:val="uk-UA"/>
        </w:rPr>
        <w:t xml:space="preserve">В процесі аналізу дохідності портфеля цінних паперів банку використовують абсолютні (дохід) та відносні (дохідність) показники. </w:t>
      </w:r>
    </w:p>
    <w:p w:rsidR="00C21F38" w:rsidRDefault="00C21F3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21F38">
        <w:rPr>
          <w:b/>
        </w:rPr>
        <w:t>Дохід портфеля</w:t>
      </w:r>
      <w:r>
        <w:t xml:space="preserve"> дорівнює сумі доходів, згенерованих окремими фінансовими інструментами, включеними до його складу. </w:t>
      </w:r>
    </w:p>
    <w:p w:rsidR="00C21F38" w:rsidRDefault="00C21F3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21F38">
        <w:rPr>
          <w:b/>
        </w:rPr>
        <w:t>Дохідність</w:t>
      </w:r>
      <w:r>
        <w:t xml:space="preserve"> — це відносний показник, який у загальному випадку обчислюють діленням доході</w:t>
      </w:r>
      <w:proofErr w:type="gramStart"/>
      <w:r>
        <w:t>в</w:t>
      </w:r>
      <w:proofErr w:type="gramEnd"/>
      <w:r>
        <w:t xml:space="preserve"> на суму інвестиції.</w:t>
      </w:r>
    </w:p>
    <w:p w:rsidR="00C21F38" w:rsidRDefault="00C21F3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 </w:t>
      </w:r>
    </w:p>
    <w:p w:rsidR="00C21F38" w:rsidRDefault="00C21F38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3F3B76">
        <w:rPr>
          <w:b/>
        </w:rPr>
        <w:lastRenderedPageBreak/>
        <w:t>Середня дохідність портфеля</w:t>
      </w:r>
      <w:r>
        <w:t xml:space="preserve"> (dp) визначається як середньозважена величина дохідності цінних паперів, що входять до його складу:</w:t>
      </w:r>
    </w:p>
    <w:p w:rsidR="003F3B76" w:rsidRPr="003F3B76" w:rsidRDefault="000649A0" w:rsidP="00300E3A">
      <w:pPr>
        <w:tabs>
          <w:tab w:val="left" w:pos="993"/>
        </w:tabs>
        <w:spacing w:line="240" w:lineRule="auto"/>
        <w:ind w:firstLine="709"/>
        <w:rPr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lang w:val="uk-UA"/>
                </w:rPr>
                <m:t>p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uk-UA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uk-UA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uk-UA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lang w:val="uk-UA"/>
            </w:rPr>
            <m:t>,                                                       (6.1)</m:t>
          </m:r>
        </m:oMath>
      </m:oMathPara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lang w:val="uk-UA"/>
        </w:rPr>
        <w:t xml:space="preserve">де </w:t>
      </w:r>
      <w:r>
        <w:t>di</w:t>
      </w:r>
      <w:r w:rsidRPr="003F3B76">
        <w:rPr>
          <w:lang w:val="uk-UA"/>
        </w:rPr>
        <w:t xml:space="preserve"> — дохідність </w:t>
      </w:r>
      <w:r>
        <w:t>i</w:t>
      </w:r>
      <w:r w:rsidRPr="003F3B76">
        <w:rPr>
          <w:lang w:val="uk-UA"/>
        </w:rPr>
        <w:softHyphen/>
        <w:t>ї групи цінних паперів (</w:t>
      </w:r>
      <w:r>
        <w:t>i</w:t>
      </w:r>
      <w:r w:rsidRPr="003F3B76">
        <w:rPr>
          <w:lang w:val="uk-UA"/>
        </w:rPr>
        <w:t>=̄1 , ̄</w:t>
      </w:r>
      <w:r>
        <w:t>n</w:t>
      </w:r>
      <w:r w:rsidRPr="003F3B76">
        <w:rPr>
          <w:lang w:val="uk-UA"/>
        </w:rPr>
        <w:t xml:space="preserve">) ;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t>Wi</w:t>
      </w:r>
      <w:r w:rsidRPr="003F3B76">
        <w:rPr>
          <w:lang w:val="uk-UA"/>
        </w:rPr>
        <w:t xml:space="preserve"> — обсяг цінних паперів </w:t>
      </w:r>
      <w:r>
        <w:t>i</w:t>
      </w:r>
      <w:r w:rsidRPr="003F3B76">
        <w:rPr>
          <w:lang w:val="uk-UA"/>
        </w:rPr>
        <w:softHyphen/>
        <w:t>ї групи в портфелі;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lang w:val="uk-UA"/>
        </w:rPr>
        <w:t xml:space="preserve"> </w:t>
      </w:r>
      <w:r>
        <w:t>n</w:t>
      </w:r>
      <w:r w:rsidRPr="003F3B76">
        <w:rPr>
          <w:lang w:val="uk-UA"/>
        </w:rPr>
        <w:t xml:space="preserve"> — кількість груп цінних паперів у портфелі.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</w:p>
    <w:p w:rsidR="00C21F38" w:rsidRDefault="003F3B76" w:rsidP="003F3B76">
      <w:pPr>
        <w:spacing w:line="240" w:lineRule="auto"/>
        <w:ind w:firstLine="709"/>
        <w:rPr>
          <w:lang w:val="uk-UA"/>
        </w:rPr>
      </w:pPr>
      <w:r>
        <w:t>До групи належать цінні папери емітента однієї емі</w:t>
      </w:r>
      <w:proofErr w:type="gramStart"/>
      <w:r>
        <w:t>с</w:t>
      </w:r>
      <w:proofErr w:type="gramEnd"/>
      <w:r>
        <w:t xml:space="preserve">ії </w:t>
      </w:r>
      <w:proofErr w:type="gramStart"/>
      <w:r>
        <w:t>та</w:t>
      </w:r>
      <w:proofErr w:type="gramEnd"/>
      <w:r>
        <w:t xml:space="preserve"> виду в одному портфелі банку. Група може складатися з одного чи більше паперів з однаковими характеристиками та властивостями.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t>Слід ві</w:t>
      </w:r>
      <w:proofErr w:type="gramStart"/>
      <w:r>
        <w:t>др</w:t>
      </w:r>
      <w:proofErr w:type="gramEnd"/>
      <w:r>
        <w:t xml:space="preserve">ізняти фактичну дохідність портфеля цінних паперів та очікувану. Фактичні доходи від операцій з цінними паперами визначаються за даними </w:t>
      </w:r>
      <w:proofErr w:type="gramStart"/>
      <w:r>
        <w:t>обл</w:t>
      </w:r>
      <w:proofErr w:type="gramEnd"/>
      <w:r>
        <w:t>іку та звітності. Дохідність портфеля цінних паперів за період обчислюють діленням суми фактичних доходів на середню суму вкладень в цінні папери за звітний період.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lang w:val="uk-UA"/>
        </w:rPr>
        <w:t>У загальном</w:t>
      </w:r>
      <w:r>
        <w:rPr>
          <w:lang w:val="uk-UA"/>
        </w:rPr>
        <w:t>у ви</w:t>
      </w:r>
      <w:r w:rsidRPr="003F3B76">
        <w:rPr>
          <w:lang w:val="uk-UA"/>
        </w:rPr>
        <w:t>падку дохідність цінних паперів залежить від двох чинників: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rPr>
          <w:lang w:val="uk-UA"/>
        </w:rPr>
        <w:t>1</w:t>
      </w:r>
      <w:r w:rsidRPr="003F3B76">
        <w:rPr>
          <w:lang w:val="uk-UA"/>
        </w:rPr>
        <w:t xml:space="preserve">. очікуваної норми дохідності;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rPr>
          <w:lang w:val="uk-UA"/>
        </w:rPr>
        <w:t>2</w:t>
      </w:r>
      <w:r w:rsidRPr="003F3B76">
        <w:rPr>
          <w:lang w:val="uk-UA"/>
        </w:rPr>
        <w:t>. норм і правил оподаткування доходів від операцій з цінними паперами</w:t>
      </w:r>
      <w:r>
        <w:rPr>
          <w:lang w:val="uk-UA"/>
        </w:rPr>
        <w:t>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proofErr w:type="gramStart"/>
      <w:r>
        <w:t>Ц</w:t>
      </w:r>
      <w:proofErr w:type="gramEnd"/>
      <w:r>
        <w:t xml:space="preserve">інні папери мають кілька характеристик: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sym w:font="Symbol" w:char="F0A8"/>
      </w:r>
      <w:r>
        <w:t xml:space="preserve"> ринкова ціна (р),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sym w:font="Symbol" w:char="F0A8"/>
      </w:r>
      <w:r>
        <w:t xml:space="preserve"> внутрішня (теоретична чи розрахункова) вартість (v),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sym w:font="Symbol" w:char="F0A8"/>
      </w:r>
      <w:r>
        <w:t xml:space="preserve"> ставка (норма) дохідності,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sym w:font="Symbol" w:char="F0A8"/>
      </w:r>
      <w:r>
        <w:t xml:space="preserve"> інвестиційний ризик.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b/>
        </w:rPr>
        <w:t>Ринкова ціна цінного папера</w:t>
      </w:r>
      <w:r>
        <w:t xml:space="preserve"> — це задекларований показник, що об’єктивно існує </w:t>
      </w:r>
      <w:proofErr w:type="gramStart"/>
      <w:r>
        <w:t>на</w:t>
      </w:r>
      <w:proofErr w:type="gramEnd"/>
      <w:r>
        <w:t xml:space="preserve"> ринку і відображається у відповідних котируваннях цінного папера</w:t>
      </w:r>
      <w:r>
        <w:rPr>
          <w:lang w:val="uk-UA"/>
        </w:rPr>
        <w:t>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b/>
        </w:rPr>
        <w:t>Внутрішня вартість цінного папера</w:t>
      </w:r>
      <w:r>
        <w:t xml:space="preserve"> — це розрахунковий показник, а тому залежить від прийнятої аналітичної моделі, на базі якої проводяться обчислення. Завдяки цьому в будьякий момент цінний папі</w:t>
      </w:r>
      <w:proofErr w:type="gramStart"/>
      <w:r>
        <w:t>р</w:t>
      </w:r>
      <w:proofErr w:type="gramEnd"/>
      <w:r>
        <w:t xml:space="preserve"> може мати кілька значень внутрішньої вартості</w:t>
      </w:r>
      <w:r>
        <w:rPr>
          <w:lang w:val="uk-UA"/>
        </w:rPr>
        <w:t>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rPr>
          <w:lang w:val="uk-UA"/>
        </w:rPr>
        <w:t>П</w:t>
      </w:r>
      <w:r w:rsidRPr="003F3B76">
        <w:rPr>
          <w:lang w:val="uk-UA"/>
        </w:rPr>
        <w:t>оточна внутрішня вартість цінних паперів приймається рівною сумі дисконтованих грошових потоків, які надходять до його власн</w:t>
      </w:r>
      <w:r>
        <w:rPr>
          <w:lang w:val="uk-UA"/>
        </w:rPr>
        <w:t>ика протягом періоду зберігання</w:t>
      </w:r>
      <w:r w:rsidRPr="003F3B76">
        <w:rPr>
          <w:lang w:val="uk-UA"/>
        </w:rPr>
        <w:t xml:space="preserve">: </w:t>
      </w:r>
    </w:p>
    <w:p w:rsidR="003F3B76" w:rsidRDefault="003F3B76" w:rsidP="003F3B76">
      <w:pPr>
        <w:spacing w:line="240" w:lineRule="auto"/>
        <w:jc w:val="right"/>
        <w:rPr>
          <w:lang w:val="uk-UA"/>
        </w:rPr>
      </w:pPr>
      <m:oMath>
        <m:r>
          <w:rPr>
            <w:rFonts w:ascii="Cambria Math" w:hAnsi="Cambria Math"/>
            <w:lang w:val="uk-UA"/>
          </w:rPr>
          <m:t xml:space="preserve">v=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uk-UA"/>
              </w:rPr>
            </m:ctrlPr>
          </m:naryPr>
          <m:sub>
            <m:r>
              <w:rPr>
                <w:rFonts w:ascii="Cambria Math" w:hAnsi="Cambria Math"/>
                <w:lang w:val="uk-UA"/>
              </w:rPr>
              <m:t>i=1</m:t>
            </m:r>
          </m:sub>
          <m:sup>
            <m:r>
              <w:rPr>
                <w:rFonts w:ascii="Cambria Math" w:hAnsi="Cambria Math"/>
                <w:lang w:val="uk-UA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i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uk-UA"/>
                      </w:rPr>
                      <m:t>(1+d)</m:t>
                    </m:r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  <w:lang w:val="uk-UA"/>
                  </w:rPr>
                  <m:t xml:space="preserve"> </m:t>
                </m:r>
              </m:den>
            </m:f>
          </m:e>
        </m:nary>
      </m:oMath>
      <w:r w:rsidRPr="003F3B76">
        <w:rPr>
          <w:lang w:val="uk-UA"/>
        </w:rPr>
        <w:t xml:space="preserve">, </w:t>
      </w:r>
      <w:r w:rsidRPr="000A17D0">
        <w:t xml:space="preserve">                                                     </w:t>
      </w:r>
      <w:r w:rsidRPr="003F3B76">
        <w:rPr>
          <w:lang w:val="uk-UA"/>
        </w:rPr>
        <w:t xml:space="preserve">(6.2)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lang w:val="uk-UA"/>
        </w:rPr>
        <w:t xml:space="preserve">де </w:t>
      </w:r>
      <w:r>
        <w:t>v</w:t>
      </w:r>
      <w:r w:rsidRPr="003F3B76">
        <w:rPr>
          <w:lang w:val="uk-UA"/>
        </w:rPr>
        <w:t xml:space="preserve"> — внутрішня вартість цінних паперів;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t>CF</w:t>
      </w:r>
      <w:r w:rsidRPr="003F3B76">
        <w:rPr>
          <w:vertAlign w:val="subscript"/>
        </w:rPr>
        <w:t>i</w:t>
      </w:r>
      <w:r>
        <w:rPr>
          <w:lang w:val="uk-UA"/>
        </w:rPr>
        <w:t xml:space="preserve"> — очікуваний гро</w:t>
      </w:r>
      <w:r w:rsidRPr="003F3B76">
        <w:rPr>
          <w:lang w:val="uk-UA"/>
        </w:rPr>
        <w:t>шовий поті</w:t>
      </w:r>
      <w:proofErr w:type="gramStart"/>
      <w:r w:rsidRPr="003F3B76">
        <w:rPr>
          <w:lang w:val="uk-UA"/>
        </w:rPr>
        <w:t>к</w:t>
      </w:r>
      <w:proofErr w:type="gramEnd"/>
      <w:r w:rsidRPr="003F3B76">
        <w:rPr>
          <w:lang w:val="uk-UA"/>
        </w:rPr>
        <w:t xml:space="preserve"> за цінним папером в </w:t>
      </w:r>
      <w:r>
        <w:t>i</w:t>
      </w:r>
      <w:r>
        <w:rPr>
          <w:lang w:val="uk-UA"/>
        </w:rPr>
        <w:t>-й період (</w:t>
      </w:r>
      <w:r>
        <w:t>i</w:t>
      </w:r>
      <w:r w:rsidRPr="003F3B76">
        <w:rPr>
          <w:lang w:val="uk-UA"/>
        </w:rPr>
        <w:t xml:space="preserve">=1, </w:t>
      </w:r>
      <w:r>
        <w:t>n</w:t>
      </w:r>
      <w:r>
        <w:rPr>
          <w:lang w:val="uk-UA"/>
        </w:rPr>
        <w:t>)</w:t>
      </w:r>
      <w:r w:rsidRPr="003F3B76">
        <w:rPr>
          <w:lang w:val="uk-UA"/>
        </w:rPr>
        <w:t xml:space="preserve">;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t>d</w:t>
      </w:r>
      <w:r w:rsidRPr="003F3B76">
        <w:rPr>
          <w:lang w:val="uk-UA"/>
        </w:rPr>
        <w:t xml:space="preserve"> — ставка дисконту</w:t>
      </w:r>
      <w:r>
        <w:rPr>
          <w:lang w:val="uk-UA"/>
        </w:rPr>
        <w:t>.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b/>
        </w:rPr>
        <w:t>Ставка (норма) дохідності цінного папера</w:t>
      </w:r>
      <w:r>
        <w:t xml:space="preserve"> — це відношення отриманого доходу до суми вкладення.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 w:rsidRPr="003F3B76">
        <w:rPr>
          <w:lang w:val="uk-UA"/>
        </w:rPr>
        <w:t xml:space="preserve">Дохід за цінним папером складається з двох частин: </w:t>
      </w:r>
    </w:p>
    <w:p w:rsidR="003F3B76" w:rsidRDefault="003F3B76" w:rsidP="003F3B76">
      <w:pPr>
        <w:spacing w:line="240" w:lineRule="auto"/>
        <w:ind w:firstLine="709"/>
        <w:rPr>
          <w:lang w:val="uk-UA"/>
        </w:rPr>
      </w:pPr>
      <w:r>
        <w:sym w:font="Symbol" w:char="F0B7"/>
      </w:r>
      <w:r w:rsidRPr="003F3B76">
        <w:rPr>
          <w:lang w:val="uk-UA"/>
        </w:rPr>
        <w:t xml:space="preserve"> виплат, які надходять від емітента; </w:t>
      </w:r>
    </w:p>
    <w:p w:rsidR="003F3B76" w:rsidRPr="000A17D0" w:rsidRDefault="003F3B76" w:rsidP="003F3B76">
      <w:pPr>
        <w:spacing w:line="240" w:lineRule="auto"/>
        <w:ind w:firstLine="709"/>
      </w:pPr>
      <w:r>
        <w:lastRenderedPageBreak/>
        <w:sym w:font="Symbol" w:char="F0B7"/>
      </w:r>
      <w:r w:rsidRPr="003F3B76">
        <w:rPr>
          <w:lang w:val="uk-UA"/>
        </w:rPr>
        <w:t xml:space="preserve"> ймовірних капітальних приростів (збитків) внаслідок зміни ринкової ціни цінного папера</w:t>
      </w:r>
      <w:r>
        <w:rPr>
          <w:lang w:val="uk-UA"/>
        </w:rPr>
        <w:t>.</w:t>
      </w:r>
    </w:p>
    <w:p w:rsidR="004B789D" w:rsidRPr="000A17D0" w:rsidRDefault="004B789D" w:rsidP="003F3B76">
      <w:pPr>
        <w:spacing w:line="240" w:lineRule="auto"/>
        <w:ind w:firstLine="709"/>
      </w:pPr>
      <w:r>
        <w:t>Запропонована</w:t>
      </w:r>
      <w:r w:rsidRPr="000A17D0">
        <w:t xml:space="preserve"> </w:t>
      </w:r>
      <w:r>
        <w:t>НБУ</w:t>
      </w:r>
      <w:r w:rsidRPr="000A17D0">
        <w:t xml:space="preserve"> </w:t>
      </w:r>
      <w:r>
        <w:t>методика</w:t>
      </w:r>
      <w:r w:rsidRPr="000A17D0">
        <w:t xml:space="preserve"> </w:t>
      </w:r>
      <w:r>
        <w:t>визначення</w:t>
      </w:r>
      <w:r w:rsidRPr="000A17D0">
        <w:t xml:space="preserve"> </w:t>
      </w:r>
      <w:r>
        <w:t>внутрішньої</w:t>
      </w:r>
      <w:r w:rsidRPr="000A17D0">
        <w:t xml:space="preserve"> </w:t>
      </w:r>
      <w:r>
        <w:t>вартості</w:t>
      </w:r>
      <w:r w:rsidRPr="000A17D0">
        <w:t xml:space="preserve"> </w:t>
      </w:r>
      <w:r>
        <w:t>цінних</w:t>
      </w:r>
      <w:r w:rsidRPr="000A17D0">
        <w:t xml:space="preserve"> </w:t>
      </w:r>
      <w:r>
        <w:t>паперів</w:t>
      </w:r>
      <w:r w:rsidRPr="000A17D0">
        <w:t xml:space="preserve"> </w:t>
      </w:r>
      <w:r>
        <w:t>передбачає</w:t>
      </w:r>
      <w:r w:rsidRPr="000A17D0">
        <w:t xml:space="preserve"> </w:t>
      </w:r>
      <w:r>
        <w:t>два</w:t>
      </w:r>
      <w:r w:rsidRPr="000A17D0">
        <w:t xml:space="preserve"> </w:t>
      </w:r>
      <w:r>
        <w:t>етапи</w:t>
      </w:r>
      <w:r w:rsidRPr="000A17D0">
        <w:t xml:space="preserve">: </w:t>
      </w:r>
    </w:p>
    <w:p w:rsidR="004B789D" w:rsidRDefault="004B789D" w:rsidP="003F3B76">
      <w:pPr>
        <w:spacing w:line="240" w:lineRule="auto"/>
        <w:ind w:firstLine="709"/>
        <w:rPr>
          <w:lang w:val="en-US"/>
        </w:rPr>
      </w:pPr>
      <w:r>
        <w:sym w:font="Symbol" w:char="F0B7"/>
      </w:r>
      <w:r w:rsidRPr="004B789D">
        <w:rPr>
          <w:lang w:val="en-US"/>
        </w:rPr>
        <w:t xml:space="preserve"> </w:t>
      </w:r>
      <w:r>
        <w:t>проведення</w:t>
      </w:r>
      <w:r w:rsidRPr="004B789D">
        <w:rPr>
          <w:lang w:val="en-US"/>
        </w:rPr>
        <w:t xml:space="preserve"> </w:t>
      </w:r>
      <w:r>
        <w:t>аналізу</w:t>
      </w:r>
      <w:r w:rsidRPr="004B789D">
        <w:rPr>
          <w:lang w:val="en-US"/>
        </w:rPr>
        <w:t xml:space="preserve"> </w:t>
      </w:r>
      <w:r>
        <w:t>дисконтованих</w:t>
      </w:r>
      <w:r w:rsidRPr="004B789D">
        <w:rPr>
          <w:lang w:val="en-US"/>
        </w:rPr>
        <w:t xml:space="preserve"> </w:t>
      </w:r>
      <w:r>
        <w:t>у</w:t>
      </w:r>
      <w:r w:rsidRPr="004B789D">
        <w:rPr>
          <w:lang w:val="en-US"/>
        </w:rPr>
        <w:t xml:space="preserve"> </w:t>
      </w:r>
      <w:r>
        <w:t>часі</w:t>
      </w:r>
      <w:r w:rsidRPr="004B789D">
        <w:rPr>
          <w:lang w:val="en-US"/>
        </w:rPr>
        <w:t xml:space="preserve"> </w:t>
      </w:r>
      <w:r>
        <w:t>майбутніх</w:t>
      </w:r>
      <w:r w:rsidRPr="004B789D">
        <w:rPr>
          <w:lang w:val="en-US"/>
        </w:rPr>
        <w:t xml:space="preserve"> </w:t>
      </w:r>
      <w:r>
        <w:t>грошових</w:t>
      </w:r>
      <w:r w:rsidRPr="004B789D">
        <w:rPr>
          <w:lang w:val="en-US"/>
        </w:rPr>
        <w:t xml:space="preserve"> </w:t>
      </w:r>
      <w:r>
        <w:t>потоків</w:t>
      </w:r>
      <w:r w:rsidRPr="004B789D">
        <w:rPr>
          <w:lang w:val="en-US"/>
        </w:rPr>
        <w:t xml:space="preserve"> </w:t>
      </w:r>
      <w:r>
        <w:t>на</w:t>
      </w:r>
      <w:r w:rsidRPr="004B789D">
        <w:rPr>
          <w:lang w:val="en-US"/>
        </w:rPr>
        <w:t xml:space="preserve"> </w:t>
      </w:r>
      <w:proofErr w:type="gramStart"/>
      <w:r>
        <w:t>п</w:t>
      </w:r>
      <w:proofErr w:type="gramEnd"/>
      <w:r>
        <w:t>ідставі</w:t>
      </w:r>
      <w:r w:rsidRPr="004B789D">
        <w:rPr>
          <w:lang w:val="en-US"/>
        </w:rPr>
        <w:t xml:space="preserve"> </w:t>
      </w:r>
      <w:r>
        <w:t>реальної</w:t>
      </w:r>
      <w:r w:rsidRPr="004B789D">
        <w:rPr>
          <w:lang w:val="en-US"/>
        </w:rPr>
        <w:t xml:space="preserve"> </w:t>
      </w:r>
      <w:r>
        <w:t>оцінки</w:t>
      </w:r>
      <w:r w:rsidRPr="004B789D">
        <w:rPr>
          <w:lang w:val="en-US"/>
        </w:rPr>
        <w:t xml:space="preserve"> </w:t>
      </w:r>
      <w:r>
        <w:t>обсягу</w:t>
      </w:r>
      <w:r w:rsidRPr="004B789D">
        <w:rPr>
          <w:lang w:val="en-US"/>
        </w:rPr>
        <w:t xml:space="preserve"> </w:t>
      </w:r>
      <w:r>
        <w:t>та</w:t>
      </w:r>
      <w:r w:rsidRPr="004B789D">
        <w:rPr>
          <w:lang w:val="en-US"/>
        </w:rPr>
        <w:t xml:space="preserve"> </w:t>
      </w:r>
      <w:r>
        <w:t>часу</w:t>
      </w:r>
      <w:r w:rsidRPr="004B789D">
        <w:rPr>
          <w:lang w:val="en-US"/>
        </w:rPr>
        <w:t xml:space="preserve"> </w:t>
      </w:r>
      <w:r>
        <w:t>виникнення</w:t>
      </w:r>
      <w:r w:rsidRPr="004B789D">
        <w:rPr>
          <w:lang w:val="en-US"/>
        </w:rPr>
        <w:t xml:space="preserve"> </w:t>
      </w:r>
      <w:r>
        <w:t>таких</w:t>
      </w:r>
      <w:r w:rsidRPr="004B789D">
        <w:rPr>
          <w:lang w:val="en-US"/>
        </w:rPr>
        <w:t xml:space="preserve"> </w:t>
      </w:r>
      <w:r>
        <w:t>потоків</w:t>
      </w:r>
      <w:r w:rsidRPr="004B789D">
        <w:rPr>
          <w:lang w:val="en-US"/>
        </w:rPr>
        <w:t xml:space="preserve"> </w:t>
      </w:r>
      <w:r>
        <w:t>і</w:t>
      </w:r>
      <w:r w:rsidRPr="004B789D">
        <w:rPr>
          <w:lang w:val="en-US"/>
        </w:rPr>
        <w:t xml:space="preserve"> </w:t>
      </w:r>
      <w:r>
        <w:t>ставки</w:t>
      </w:r>
      <w:r w:rsidRPr="004B789D">
        <w:rPr>
          <w:lang w:val="en-US"/>
        </w:rPr>
        <w:t xml:space="preserve"> </w:t>
      </w:r>
      <w:r>
        <w:t>дисконту</w:t>
      </w:r>
      <w:r w:rsidRPr="004B789D">
        <w:rPr>
          <w:lang w:val="en-US"/>
        </w:rPr>
        <w:t xml:space="preserve">, </w:t>
      </w:r>
      <w:r>
        <w:t>що</w:t>
      </w:r>
      <w:r w:rsidRPr="004B789D">
        <w:rPr>
          <w:lang w:val="en-US"/>
        </w:rPr>
        <w:t xml:space="preserve"> </w:t>
      </w:r>
      <w:r>
        <w:t>відповідає</w:t>
      </w:r>
      <w:r w:rsidRPr="004B789D">
        <w:rPr>
          <w:lang w:val="en-US"/>
        </w:rPr>
        <w:t xml:space="preserve"> </w:t>
      </w:r>
      <w:r>
        <w:t>нормі</w:t>
      </w:r>
      <w:r w:rsidRPr="004B789D">
        <w:rPr>
          <w:lang w:val="en-US"/>
        </w:rPr>
        <w:t xml:space="preserve"> </w:t>
      </w:r>
      <w:r>
        <w:t>дохідності</w:t>
      </w:r>
      <w:r w:rsidRPr="004B789D">
        <w:rPr>
          <w:lang w:val="en-US"/>
        </w:rPr>
        <w:t xml:space="preserve"> </w:t>
      </w:r>
      <w:r>
        <w:t>альтернативних</w:t>
      </w:r>
      <w:r w:rsidRPr="004B789D">
        <w:rPr>
          <w:lang w:val="en-US"/>
        </w:rPr>
        <w:t xml:space="preserve"> </w:t>
      </w:r>
      <w:r>
        <w:t>інвестиційних</w:t>
      </w:r>
      <w:r w:rsidRPr="004B789D">
        <w:rPr>
          <w:lang w:val="en-US"/>
        </w:rPr>
        <w:t xml:space="preserve"> </w:t>
      </w:r>
      <w:r>
        <w:t>проектів</w:t>
      </w:r>
      <w:r w:rsidRPr="004B789D">
        <w:rPr>
          <w:lang w:val="en-US"/>
        </w:rPr>
        <w:t xml:space="preserve"> </w:t>
      </w:r>
      <w:r>
        <w:t>із</w:t>
      </w:r>
      <w:r w:rsidRPr="004B789D">
        <w:rPr>
          <w:lang w:val="en-US"/>
        </w:rPr>
        <w:t xml:space="preserve"> </w:t>
      </w:r>
      <w:r>
        <w:t>близьким</w:t>
      </w:r>
      <w:r w:rsidRPr="004B789D">
        <w:rPr>
          <w:lang w:val="en-US"/>
        </w:rPr>
        <w:t xml:space="preserve"> </w:t>
      </w:r>
      <w:r>
        <w:t>строком</w:t>
      </w:r>
      <w:r w:rsidRPr="004B789D">
        <w:rPr>
          <w:lang w:val="en-US"/>
        </w:rPr>
        <w:t xml:space="preserve"> </w:t>
      </w:r>
      <w:r>
        <w:t>дії</w:t>
      </w:r>
      <w:r w:rsidRPr="004B789D">
        <w:rPr>
          <w:lang w:val="en-US"/>
        </w:rPr>
        <w:t xml:space="preserve"> </w:t>
      </w:r>
      <w:r>
        <w:t>та</w:t>
      </w:r>
      <w:r w:rsidRPr="004B789D">
        <w:rPr>
          <w:lang w:val="en-US"/>
        </w:rPr>
        <w:t xml:space="preserve"> </w:t>
      </w:r>
      <w:r>
        <w:t>рівнем</w:t>
      </w:r>
      <w:r w:rsidRPr="004B789D">
        <w:rPr>
          <w:lang w:val="en-US"/>
        </w:rPr>
        <w:t xml:space="preserve"> </w:t>
      </w:r>
      <w:r>
        <w:t>ризику</w:t>
      </w:r>
      <w:r w:rsidRPr="004B789D">
        <w:rPr>
          <w:lang w:val="en-US"/>
        </w:rPr>
        <w:t xml:space="preserve"> (</w:t>
      </w:r>
      <w:r>
        <w:t>фактор</w:t>
      </w:r>
      <w:r w:rsidRPr="004B789D">
        <w:rPr>
          <w:lang w:val="en-US"/>
        </w:rPr>
        <w:t xml:space="preserve"> </w:t>
      </w:r>
      <w:r>
        <w:t>ризику</w:t>
      </w:r>
      <w:r w:rsidRPr="004B789D">
        <w:rPr>
          <w:lang w:val="en-US"/>
        </w:rPr>
        <w:t xml:space="preserve"> </w:t>
      </w:r>
      <w:r>
        <w:t>фондового</w:t>
      </w:r>
      <w:r w:rsidRPr="004B789D">
        <w:rPr>
          <w:lang w:val="en-US"/>
        </w:rPr>
        <w:t xml:space="preserve"> </w:t>
      </w:r>
      <w:r>
        <w:t>ринку</w:t>
      </w:r>
      <w:r w:rsidRPr="004B789D">
        <w:rPr>
          <w:lang w:val="en-US"/>
        </w:rPr>
        <w:t xml:space="preserve">); </w:t>
      </w:r>
    </w:p>
    <w:p w:rsidR="004B789D" w:rsidRPr="000A17D0" w:rsidRDefault="004B789D" w:rsidP="003F3B76">
      <w:pPr>
        <w:spacing w:line="240" w:lineRule="auto"/>
        <w:ind w:firstLine="709"/>
      </w:pPr>
      <w:r>
        <w:sym w:font="Symbol" w:char="F0B7"/>
      </w:r>
      <w:r w:rsidRPr="004B789D">
        <w:t xml:space="preserve"> </w:t>
      </w:r>
      <w:r>
        <w:t>аналіз</w:t>
      </w:r>
      <w:r w:rsidRPr="004B789D">
        <w:t xml:space="preserve"> </w:t>
      </w:r>
      <w:r>
        <w:t>фінансового</w:t>
      </w:r>
      <w:r w:rsidRPr="004B789D">
        <w:t xml:space="preserve"> </w:t>
      </w:r>
      <w:r>
        <w:t>стану</w:t>
      </w:r>
      <w:r w:rsidRPr="004B789D">
        <w:t xml:space="preserve"> </w:t>
      </w:r>
      <w:r>
        <w:t>та</w:t>
      </w:r>
      <w:r w:rsidRPr="004B789D">
        <w:t xml:space="preserve"> </w:t>
      </w:r>
      <w:r>
        <w:t>результатів</w:t>
      </w:r>
      <w:r w:rsidRPr="004B789D">
        <w:t xml:space="preserve"> </w:t>
      </w:r>
      <w:r>
        <w:t>роботи</w:t>
      </w:r>
      <w:r w:rsidRPr="004B789D">
        <w:t xml:space="preserve"> </w:t>
      </w:r>
      <w:r>
        <w:t>емітента</w:t>
      </w:r>
      <w:r w:rsidRPr="004B789D">
        <w:t xml:space="preserve"> (</w:t>
      </w:r>
      <w:r>
        <w:t>фактор</w:t>
      </w:r>
      <w:r w:rsidRPr="004B789D">
        <w:t xml:space="preserve"> </w:t>
      </w:r>
      <w:r>
        <w:t>ризику</w:t>
      </w:r>
      <w:r w:rsidRPr="004B789D">
        <w:t xml:space="preserve"> </w:t>
      </w:r>
      <w:r>
        <w:t>емітента</w:t>
      </w:r>
      <w:r w:rsidRPr="004B789D">
        <w:t>).</w:t>
      </w:r>
    </w:p>
    <w:p w:rsidR="004B789D" w:rsidRDefault="004B789D" w:rsidP="003F3B76">
      <w:pPr>
        <w:spacing w:line="240" w:lineRule="auto"/>
        <w:ind w:firstLine="709"/>
        <w:rPr>
          <w:lang w:val="en-US"/>
        </w:rPr>
      </w:pPr>
      <w:r>
        <w:t>Як</w:t>
      </w:r>
      <w:r w:rsidRPr="004B789D">
        <w:rPr>
          <w:lang w:val="en-US"/>
        </w:rPr>
        <w:t xml:space="preserve"> </w:t>
      </w:r>
      <w:r>
        <w:t>випливає</w:t>
      </w:r>
      <w:r w:rsidRPr="004B789D">
        <w:rPr>
          <w:lang w:val="en-US"/>
        </w:rPr>
        <w:t xml:space="preserve"> </w:t>
      </w:r>
      <w:r>
        <w:t>з</w:t>
      </w:r>
      <w:r w:rsidRPr="004B789D">
        <w:rPr>
          <w:lang w:val="en-US"/>
        </w:rPr>
        <w:t xml:space="preserve"> </w:t>
      </w:r>
      <w:r>
        <w:t>формули</w:t>
      </w:r>
      <w:r w:rsidRPr="004B789D">
        <w:rPr>
          <w:lang w:val="en-US"/>
        </w:rPr>
        <w:t xml:space="preserve"> (6.2), </w:t>
      </w:r>
      <w:r>
        <w:t>яку</w:t>
      </w:r>
      <w:r w:rsidRPr="004B789D">
        <w:rPr>
          <w:lang w:val="en-US"/>
        </w:rPr>
        <w:t xml:space="preserve"> </w:t>
      </w:r>
      <w:r>
        <w:t>надалі</w:t>
      </w:r>
      <w:r w:rsidRPr="004B789D">
        <w:rPr>
          <w:lang w:val="en-US"/>
        </w:rPr>
        <w:t xml:space="preserve"> </w:t>
      </w:r>
      <w:r>
        <w:t>називатимемо</w:t>
      </w:r>
      <w:r w:rsidRPr="004B789D">
        <w:rPr>
          <w:lang w:val="en-US"/>
        </w:rPr>
        <w:t xml:space="preserve"> </w:t>
      </w:r>
      <w:proofErr w:type="gramStart"/>
      <w:r>
        <w:t>базовою</w:t>
      </w:r>
      <w:proofErr w:type="gramEnd"/>
      <w:r w:rsidRPr="004B789D">
        <w:rPr>
          <w:lang w:val="en-US"/>
        </w:rPr>
        <w:t xml:space="preserve"> </w:t>
      </w:r>
      <w:r>
        <w:t>моделлю</w:t>
      </w:r>
      <w:r w:rsidRPr="004B789D">
        <w:rPr>
          <w:lang w:val="en-US"/>
        </w:rPr>
        <w:t xml:space="preserve">, </w:t>
      </w:r>
      <w:r>
        <w:t>внутрішня</w:t>
      </w:r>
      <w:r w:rsidRPr="004B789D">
        <w:rPr>
          <w:lang w:val="en-US"/>
        </w:rPr>
        <w:t xml:space="preserve"> </w:t>
      </w:r>
      <w:r>
        <w:t>вартість</w:t>
      </w:r>
      <w:r w:rsidRPr="004B789D">
        <w:rPr>
          <w:lang w:val="en-US"/>
        </w:rPr>
        <w:t xml:space="preserve"> </w:t>
      </w:r>
      <w:r>
        <w:t>цінного</w:t>
      </w:r>
      <w:r w:rsidRPr="004B789D">
        <w:rPr>
          <w:lang w:val="en-US"/>
        </w:rPr>
        <w:t xml:space="preserve"> </w:t>
      </w:r>
      <w:r>
        <w:t>папера</w:t>
      </w:r>
      <w:r w:rsidRPr="004B789D">
        <w:rPr>
          <w:lang w:val="en-US"/>
        </w:rPr>
        <w:t xml:space="preserve"> </w:t>
      </w:r>
      <w:r>
        <w:t>залежить</w:t>
      </w:r>
      <w:r w:rsidRPr="004B789D">
        <w:rPr>
          <w:lang w:val="en-US"/>
        </w:rPr>
        <w:t xml:space="preserve"> </w:t>
      </w:r>
      <w:r>
        <w:t>від</w:t>
      </w:r>
      <w:r w:rsidRPr="004B789D">
        <w:rPr>
          <w:lang w:val="en-US"/>
        </w:rPr>
        <w:t xml:space="preserve"> </w:t>
      </w:r>
      <w:r>
        <w:t>трьох</w:t>
      </w:r>
      <w:r w:rsidRPr="004B789D">
        <w:rPr>
          <w:lang w:val="en-US"/>
        </w:rPr>
        <w:t xml:space="preserve"> </w:t>
      </w:r>
      <w:r>
        <w:t>чинників</w:t>
      </w:r>
      <w:r w:rsidRPr="004B789D">
        <w:rPr>
          <w:lang w:val="en-US"/>
        </w:rPr>
        <w:t xml:space="preserve">: </w:t>
      </w:r>
    </w:p>
    <w:p w:rsidR="004B789D" w:rsidRPr="000A17D0" w:rsidRDefault="004B789D" w:rsidP="003F3B76">
      <w:pPr>
        <w:spacing w:line="240" w:lineRule="auto"/>
        <w:ind w:firstLine="709"/>
      </w:pPr>
      <w:r>
        <w:sym w:font="Symbol" w:char="F0B7"/>
      </w:r>
      <w:r w:rsidRPr="004B789D">
        <w:t xml:space="preserve"> </w:t>
      </w:r>
      <w:r>
        <w:t>очікуваних</w:t>
      </w:r>
      <w:r w:rsidRPr="004B789D">
        <w:t xml:space="preserve"> </w:t>
      </w:r>
      <w:r>
        <w:t>грошових</w:t>
      </w:r>
      <w:r w:rsidRPr="004B789D">
        <w:t xml:space="preserve"> </w:t>
      </w:r>
      <w:r>
        <w:t>надходжень</w:t>
      </w:r>
      <w:r w:rsidRPr="004B789D">
        <w:t xml:space="preserve">; </w:t>
      </w:r>
    </w:p>
    <w:p w:rsidR="004B789D" w:rsidRPr="000A17D0" w:rsidRDefault="004B789D" w:rsidP="003F3B76">
      <w:pPr>
        <w:spacing w:line="240" w:lineRule="auto"/>
        <w:ind w:firstLine="709"/>
      </w:pPr>
      <w:r>
        <w:sym w:font="Symbol" w:char="F0B7"/>
      </w:r>
      <w:r w:rsidRPr="004B789D">
        <w:t xml:space="preserve"> </w:t>
      </w:r>
      <w:r>
        <w:t>тривалості</w:t>
      </w:r>
      <w:r w:rsidRPr="004B789D">
        <w:t xml:space="preserve"> </w:t>
      </w:r>
      <w:r>
        <w:t>періоду</w:t>
      </w:r>
      <w:r w:rsidRPr="004B789D">
        <w:t xml:space="preserve"> </w:t>
      </w:r>
      <w:r>
        <w:t>обігу</w:t>
      </w:r>
      <w:r w:rsidRPr="004B789D">
        <w:t xml:space="preserve"> </w:t>
      </w:r>
      <w:r>
        <w:t>цінного</w:t>
      </w:r>
      <w:r w:rsidRPr="004B789D">
        <w:t xml:space="preserve"> </w:t>
      </w:r>
      <w:r>
        <w:t>папера</w:t>
      </w:r>
      <w:r w:rsidRPr="004B789D">
        <w:t xml:space="preserve"> (</w:t>
      </w:r>
      <w:r>
        <w:t>або</w:t>
      </w:r>
      <w:r w:rsidRPr="004B789D">
        <w:t xml:space="preserve"> </w:t>
      </w:r>
      <w:r>
        <w:t>періоду</w:t>
      </w:r>
      <w:r w:rsidRPr="004B789D">
        <w:t xml:space="preserve"> </w:t>
      </w:r>
      <w:r>
        <w:t>прогнозування</w:t>
      </w:r>
      <w:r w:rsidRPr="004B789D">
        <w:t xml:space="preserve"> </w:t>
      </w:r>
      <w:r>
        <w:t>для</w:t>
      </w:r>
      <w:r w:rsidRPr="004B789D">
        <w:t xml:space="preserve"> </w:t>
      </w:r>
      <w:r>
        <w:t>безстрокових</w:t>
      </w:r>
      <w:r w:rsidRPr="004B789D">
        <w:t xml:space="preserve"> </w:t>
      </w:r>
      <w:r>
        <w:t>інструментів</w:t>
      </w:r>
      <w:r w:rsidRPr="004B789D">
        <w:t xml:space="preserve">); </w:t>
      </w:r>
    </w:p>
    <w:p w:rsidR="004B789D" w:rsidRPr="000A17D0" w:rsidRDefault="004B789D" w:rsidP="003F3B76">
      <w:pPr>
        <w:spacing w:line="240" w:lineRule="auto"/>
        <w:ind w:firstLine="709"/>
      </w:pPr>
      <w:r>
        <w:sym w:font="Symbol" w:char="F0B7"/>
      </w:r>
      <w:r w:rsidRPr="004B789D">
        <w:t xml:space="preserve"> </w:t>
      </w:r>
      <w:r>
        <w:t>ставки</w:t>
      </w:r>
      <w:r w:rsidRPr="004B789D">
        <w:t xml:space="preserve"> </w:t>
      </w:r>
      <w:r>
        <w:t>дисконтування</w:t>
      </w:r>
      <w:r w:rsidRPr="004B789D">
        <w:t>.</w:t>
      </w:r>
    </w:p>
    <w:p w:rsidR="004B789D" w:rsidRPr="000A17D0" w:rsidRDefault="004B789D" w:rsidP="003F3B76">
      <w:pPr>
        <w:spacing w:line="240" w:lineRule="auto"/>
        <w:ind w:firstLine="709"/>
      </w:pPr>
      <w:r w:rsidRPr="004B789D">
        <w:t xml:space="preserve"> </w:t>
      </w:r>
      <w:r>
        <w:t xml:space="preserve">Перші два чинники визначаються властивостями конкретної групи цінних паперів і достатньо регламентовані. </w:t>
      </w:r>
    </w:p>
    <w:p w:rsidR="004B789D" w:rsidRDefault="004B789D" w:rsidP="003F3B76">
      <w:pPr>
        <w:spacing w:line="240" w:lineRule="auto"/>
        <w:ind w:firstLine="709"/>
        <w:rPr>
          <w:lang w:val="en-US"/>
        </w:rPr>
      </w:pPr>
      <w:r>
        <w:t>Третій</w:t>
      </w:r>
      <w:r w:rsidRPr="004B789D">
        <w:rPr>
          <w:lang w:val="en-US"/>
        </w:rPr>
        <w:t xml:space="preserve"> </w:t>
      </w:r>
      <w:r>
        <w:t>чинник</w:t>
      </w:r>
      <w:r w:rsidRPr="004B789D">
        <w:rPr>
          <w:lang w:val="en-US"/>
        </w:rPr>
        <w:t xml:space="preserve"> — </w:t>
      </w:r>
      <w:r>
        <w:t>ставку</w:t>
      </w:r>
      <w:r w:rsidRPr="004B789D">
        <w:rPr>
          <w:lang w:val="en-US"/>
        </w:rPr>
        <w:t xml:space="preserve"> </w:t>
      </w:r>
      <w:r>
        <w:t>дисконтування</w:t>
      </w:r>
      <w:r w:rsidRPr="004B789D">
        <w:rPr>
          <w:lang w:val="en-US"/>
        </w:rPr>
        <w:t xml:space="preserve"> — </w:t>
      </w:r>
      <w:r>
        <w:t>інвестор</w:t>
      </w:r>
      <w:r w:rsidRPr="004B789D">
        <w:rPr>
          <w:lang w:val="en-US"/>
        </w:rPr>
        <w:t xml:space="preserve"> </w:t>
      </w:r>
      <w:r>
        <w:t>обирає</w:t>
      </w:r>
      <w:r w:rsidRPr="004B789D">
        <w:rPr>
          <w:lang w:val="en-US"/>
        </w:rPr>
        <w:t xml:space="preserve"> </w:t>
      </w:r>
      <w:r>
        <w:t>самостійно</w:t>
      </w:r>
      <w:r w:rsidRPr="004B789D">
        <w:rPr>
          <w:lang w:val="en-US"/>
        </w:rPr>
        <w:t xml:space="preserve">, </w:t>
      </w:r>
      <w:r>
        <w:t>виходячи</w:t>
      </w:r>
      <w:r w:rsidRPr="004B789D">
        <w:rPr>
          <w:lang w:val="en-US"/>
        </w:rPr>
        <w:t xml:space="preserve"> </w:t>
      </w:r>
      <w:r>
        <w:t>з</w:t>
      </w:r>
      <w:r w:rsidRPr="004B789D">
        <w:rPr>
          <w:lang w:val="en-US"/>
        </w:rPr>
        <w:t xml:space="preserve"> </w:t>
      </w:r>
      <w:r>
        <w:t>власних</w:t>
      </w:r>
      <w:r w:rsidRPr="004B789D">
        <w:rPr>
          <w:lang w:val="en-US"/>
        </w:rPr>
        <w:t xml:space="preserve"> </w:t>
      </w:r>
      <w:r>
        <w:t>міркувань</w:t>
      </w:r>
      <w:r w:rsidRPr="004B789D">
        <w:rPr>
          <w:lang w:val="en-US"/>
        </w:rPr>
        <w:t xml:space="preserve">, </w:t>
      </w:r>
      <w:r>
        <w:t>доступних</w:t>
      </w:r>
      <w:r w:rsidRPr="004B789D">
        <w:rPr>
          <w:lang w:val="en-US"/>
        </w:rPr>
        <w:t xml:space="preserve"> (</w:t>
      </w:r>
      <w:r>
        <w:t>можливо</w:t>
      </w:r>
      <w:r w:rsidRPr="004B789D">
        <w:rPr>
          <w:lang w:val="en-US"/>
        </w:rPr>
        <w:t xml:space="preserve">, </w:t>
      </w:r>
      <w:r>
        <w:t>лише</w:t>
      </w:r>
      <w:r w:rsidRPr="004B789D">
        <w:rPr>
          <w:lang w:val="en-US"/>
        </w:rPr>
        <w:t xml:space="preserve"> </w:t>
      </w:r>
      <w:r>
        <w:t>йому</w:t>
      </w:r>
      <w:r w:rsidRPr="004B789D">
        <w:rPr>
          <w:lang w:val="en-US"/>
        </w:rPr>
        <w:t xml:space="preserve">) </w:t>
      </w:r>
      <w:r>
        <w:t>альтернативних</w:t>
      </w:r>
      <w:r w:rsidRPr="004B789D">
        <w:rPr>
          <w:lang w:val="en-US"/>
        </w:rPr>
        <w:t xml:space="preserve"> </w:t>
      </w:r>
      <w:r>
        <w:t>напрямів</w:t>
      </w:r>
      <w:r w:rsidRPr="004B789D">
        <w:rPr>
          <w:lang w:val="en-US"/>
        </w:rPr>
        <w:t xml:space="preserve"> </w:t>
      </w:r>
      <w:r>
        <w:t>інвестування</w:t>
      </w:r>
      <w:r w:rsidRPr="004B789D">
        <w:rPr>
          <w:lang w:val="en-US"/>
        </w:rPr>
        <w:t xml:space="preserve"> </w:t>
      </w:r>
      <w:r>
        <w:t>чи</w:t>
      </w:r>
      <w:r w:rsidRPr="004B789D">
        <w:rPr>
          <w:lang w:val="en-US"/>
        </w:rPr>
        <w:t xml:space="preserve"> </w:t>
      </w:r>
      <w:r>
        <w:t>інших</w:t>
      </w:r>
      <w:r w:rsidRPr="004B789D">
        <w:rPr>
          <w:lang w:val="en-US"/>
        </w:rPr>
        <w:t xml:space="preserve"> </w:t>
      </w:r>
      <w:r>
        <w:t>ринкових</w:t>
      </w:r>
      <w:r w:rsidRPr="004B789D">
        <w:rPr>
          <w:lang w:val="en-US"/>
        </w:rPr>
        <w:t xml:space="preserve"> </w:t>
      </w:r>
      <w:r>
        <w:t>індикаторі</w:t>
      </w:r>
      <w:proofErr w:type="gramStart"/>
      <w:r>
        <w:t>в</w:t>
      </w:r>
      <w:proofErr w:type="gramEnd"/>
      <w:r w:rsidRPr="004B789D">
        <w:rPr>
          <w:lang w:val="en-US"/>
        </w:rPr>
        <w:t>.</w:t>
      </w:r>
    </w:p>
    <w:p w:rsidR="004B789D" w:rsidRDefault="004B789D" w:rsidP="003F3B76">
      <w:pPr>
        <w:spacing w:line="240" w:lineRule="auto"/>
        <w:ind w:firstLine="709"/>
        <w:rPr>
          <w:lang w:val="uk-UA"/>
        </w:rPr>
      </w:pPr>
      <w:r>
        <w:t>Загалом</w:t>
      </w:r>
      <w:r w:rsidRPr="004B789D">
        <w:rPr>
          <w:lang w:val="en-US"/>
        </w:rPr>
        <w:t xml:space="preserve"> </w:t>
      </w:r>
      <w:r>
        <w:t>ставка</w:t>
      </w:r>
      <w:r w:rsidRPr="004B789D">
        <w:rPr>
          <w:lang w:val="en-US"/>
        </w:rPr>
        <w:t xml:space="preserve"> </w:t>
      </w:r>
      <w:r>
        <w:t>дисконтування</w:t>
      </w:r>
      <w:r w:rsidRPr="004B789D">
        <w:rPr>
          <w:lang w:val="en-US"/>
        </w:rPr>
        <w:t xml:space="preserve"> </w:t>
      </w:r>
      <w:r>
        <w:t>може</w:t>
      </w:r>
      <w:r w:rsidRPr="004B789D">
        <w:rPr>
          <w:lang w:val="en-US"/>
        </w:rPr>
        <w:t xml:space="preserve"> </w:t>
      </w:r>
      <w:r>
        <w:t>прийматися</w:t>
      </w:r>
      <w:r w:rsidRPr="004B789D">
        <w:rPr>
          <w:lang w:val="en-US"/>
        </w:rPr>
        <w:t xml:space="preserve"> </w:t>
      </w:r>
      <w:proofErr w:type="gramStart"/>
      <w:r>
        <w:t>р</w:t>
      </w:r>
      <w:proofErr w:type="gramEnd"/>
      <w:r>
        <w:t>івною</w:t>
      </w:r>
      <w:r w:rsidRPr="004B789D">
        <w:rPr>
          <w:lang w:val="en-US"/>
        </w:rPr>
        <w:t xml:space="preserve">: </w:t>
      </w:r>
      <w:r>
        <w:t>відсотковій</w:t>
      </w:r>
      <w:r w:rsidRPr="004B789D">
        <w:rPr>
          <w:lang w:val="en-US"/>
        </w:rPr>
        <w:t xml:space="preserve"> </w:t>
      </w:r>
      <w:r>
        <w:t>ставці</w:t>
      </w:r>
      <w:r w:rsidRPr="004B789D">
        <w:rPr>
          <w:lang w:val="en-US"/>
        </w:rPr>
        <w:t xml:space="preserve"> </w:t>
      </w:r>
      <w:r>
        <w:t>за</w:t>
      </w:r>
      <w:r w:rsidRPr="004B789D">
        <w:rPr>
          <w:lang w:val="en-US"/>
        </w:rPr>
        <w:t xml:space="preserve"> </w:t>
      </w:r>
      <w:r>
        <w:t>банківськими</w:t>
      </w:r>
      <w:r w:rsidRPr="004B789D">
        <w:rPr>
          <w:lang w:val="en-US"/>
        </w:rPr>
        <w:t xml:space="preserve"> </w:t>
      </w:r>
      <w:r>
        <w:t>депозитами</w:t>
      </w:r>
      <w:r w:rsidRPr="004B789D">
        <w:rPr>
          <w:lang w:val="en-US"/>
        </w:rPr>
        <w:t xml:space="preserve">; </w:t>
      </w:r>
      <w:r>
        <w:t>ставці</w:t>
      </w:r>
      <w:r w:rsidRPr="004B789D">
        <w:rPr>
          <w:lang w:val="en-US"/>
        </w:rPr>
        <w:t xml:space="preserve"> </w:t>
      </w:r>
      <w:r>
        <w:t>дохідності</w:t>
      </w:r>
      <w:r w:rsidRPr="004B789D">
        <w:rPr>
          <w:lang w:val="en-US"/>
        </w:rPr>
        <w:t xml:space="preserve"> </w:t>
      </w:r>
      <w:r>
        <w:t>за</w:t>
      </w:r>
      <w:r w:rsidRPr="004B789D">
        <w:rPr>
          <w:lang w:val="en-US"/>
        </w:rPr>
        <w:t xml:space="preserve"> </w:t>
      </w:r>
      <w:r>
        <w:t>іншими</w:t>
      </w:r>
      <w:r w:rsidRPr="004B789D">
        <w:rPr>
          <w:lang w:val="en-US"/>
        </w:rPr>
        <w:t xml:space="preserve"> </w:t>
      </w:r>
      <w:r>
        <w:t>фінансовими</w:t>
      </w:r>
      <w:r w:rsidRPr="004B789D">
        <w:rPr>
          <w:lang w:val="en-US"/>
        </w:rPr>
        <w:t xml:space="preserve"> </w:t>
      </w:r>
      <w:r>
        <w:t>інструментами</w:t>
      </w:r>
      <w:r w:rsidRPr="004B789D">
        <w:rPr>
          <w:lang w:val="en-US"/>
        </w:rPr>
        <w:t xml:space="preserve"> </w:t>
      </w:r>
      <w:r>
        <w:t>з</w:t>
      </w:r>
      <w:r w:rsidRPr="004B789D">
        <w:rPr>
          <w:lang w:val="en-US"/>
        </w:rPr>
        <w:t xml:space="preserve"> </w:t>
      </w:r>
      <w:r>
        <w:t>таким</w:t>
      </w:r>
      <w:r w:rsidRPr="004B789D">
        <w:rPr>
          <w:lang w:val="en-US"/>
        </w:rPr>
        <w:t xml:space="preserve"> </w:t>
      </w:r>
      <w:r>
        <w:t>самим</w:t>
      </w:r>
      <w:r w:rsidRPr="004B789D">
        <w:rPr>
          <w:lang w:val="en-US"/>
        </w:rPr>
        <w:t xml:space="preserve"> </w:t>
      </w:r>
      <w:r>
        <w:t>рівнем</w:t>
      </w:r>
      <w:r w:rsidRPr="004B789D">
        <w:rPr>
          <w:lang w:val="en-US"/>
        </w:rPr>
        <w:t xml:space="preserve"> </w:t>
      </w:r>
      <w:r>
        <w:t>ризику</w:t>
      </w:r>
      <w:r w:rsidRPr="004B789D">
        <w:rPr>
          <w:lang w:val="en-US"/>
        </w:rPr>
        <w:t xml:space="preserve">; </w:t>
      </w:r>
      <w:r>
        <w:t>сумі</w:t>
      </w:r>
      <w:r w:rsidRPr="004B789D">
        <w:rPr>
          <w:lang w:val="en-US"/>
        </w:rPr>
        <w:t xml:space="preserve"> </w:t>
      </w:r>
      <w:r>
        <w:t>безризикової</w:t>
      </w:r>
      <w:r w:rsidRPr="004B789D">
        <w:rPr>
          <w:lang w:val="en-US"/>
        </w:rPr>
        <w:t xml:space="preserve"> </w:t>
      </w:r>
      <w:r>
        <w:t>ставки</w:t>
      </w:r>
      <w:r w:rsidRPr="004B789D">
        <w:rPr>
          <w:lang w:val="en-US"/>
        </w:rPr>
        <w:t xml:space="preserve"> (</w:t>
      </w:r>
      <w:r>
        <w:t>як</w:t>
      </w:r>
      <w:r w:rsidRPr="004B789D">
        <w:rPr>
          <w:lang w:val="en-US"/>
        </w:rPr>
        <w:t xml:space="preserve"> </w:t>
      </w:r>
      <w:r>
        <w:t>правило</w:t>
      </w:r>
      <w:r w:rsidRPr="004B789D">
        <w:rPr>
          <w:lang w:val="en-US"/>
        </w:rPr>
        <w:t xml:space="preserve">, </w:t>
      </w:r>
      <w:r>
        <w:t>за</w:t>
      </w:r>
      <w:r w:rsidRPr="004B789D">
        <w:rPr>
          <w:lang w:val="en-US"/>
        </w:rPr>
        <w:t xml:space="preserve"> </w:t>
      </w:r>
      <w:r>
        <w:t>казначейськими</w:t>
      </w:r>
      <w:r w:rsidRPr="004B789D">
        <w:rPr>
          <w:lang w:val="en-US"/>
        </w:rPr>
        <w:t xml:space="preserve"> </w:t>
      </w:r>
      <w:r>
        <w:t>зобов</w:t>
      </w:r>
      <w:r w:rsidRPr="004B789D">
        <w:rPr>
          <w:lang w:val="en-US"/>
        </w:rPr>
        <w:t>’</w:t>
      </w:r>
      <w:r>
        <w:t>язаннями</w:t>
      </w:r>
      <w:r w:rsidRPr="004B789D">
        <w:rPr>
          <w:lang w:val="en-US"/>
        </w:rPr>
        <w:t xml:space="preserve"> </w:t>
      </w:r>
      <w:r>
        <w:t>уряду</w:t>
      </w:r>
      <w:r w:rsidRPr="004B789D">
        <w:rPr>
          <w:lang w:val="en-US"/>
        </w:rPr>
        <w:t xml:space="preserve">) </w:t>
      </w:r>
      <w:r>
        <w:t>та</w:t>
      </w:r>
      <w:r w:rsidRPr="004B789D">
        <w:rPr>
          <w:lang w:val="en-US"/>
        </w:rPr>
        <w:t xml:space="preserve"> </w:t>
      </w:r>
      <w:r>
        <w:t>премії</w:t>
      </w:r>
      <w:r w:rsidRPr="004B789D">
        <w:rPr>
          <w:lang w:val="en-US"/>
        </w:rPr>
        <w:t xml:space="preserve"> </w:t>
      </w:r>
      <w:r>
        <w:t>за</w:t>
      </w:r>
      <w:r w:rsidRPr="004B789D">
        <w:rPr>
          <w:lang w:val="en-US"/>
        </w:rPr>
        <w:t xml:space="preserve"> </w:t>
      </w:r>
      <w:r>
        <w:t>ризи</w:t>
      </w:r>
      <w:r>
        <w:rPr>
          <w:lang w:val="uk-UA"/>
        </w:rPr>
        <w:t>к.</w:t>
      </w:r>
    </w:p>
    <w:p w:rsidR="000152DB" w:rsidRDefault="000152DB" w:rsidP="003F3B76">
      <w:pPr>
        <w:spacing w:line="240" w:lineRule="auto"/>
        <w:ind w:firstLine="709"/>
        <w:rPr>
          <w:lang w:val="uk-UA"/>
        </w:rPr>
      </w:pPr>
      <w:r>
        <w:t>Базова модель модифікується залежно від особливостей отримання доході</w:t>
      </w:r>
      <w:proofErr w:type="gramStart"/>
      <w:r>
        <w:t>в</w:t>
      </w:r>
      <w:proofErr w:type="gramEnd"/>
      <w:r>
        <w:t xml:space="preserve"> за тим чи іншим цінним папером. Розглянемо особливості визначення внутрішньої вартості основних видів цінних паперів: </w:t>
      </w:r>
      <w:proofErr w:type="gramStart"/>
      <w:r>
        <w:t>обл</w:t>
      </w:r>
      <w:proofErr w:type="gramEnd"/>
      <w:r>
        <w:t xml:space="preserve">ігацій та акцій. </w:t>
      </w:r>
    </w:p>
    <w:p w:rsidR="000152DB" w:rsidRDefault="000152DB" w:rsidP="003F3B76">
      <w:pPr>
        <w:spacing w:line="240" w:lineRule="auto"/>
        <w:ind w:firstLine="709"/>
        <w:rPr>
          <w:lang w:val="uk-UA"/>
        </w:rPr>
      </w:pPr>
      <w:proofErr w:type="gramStart"/>
      <w:r w:rsidRPr="000152DB">
        <w:rPr>
          <w:b/>
        </w:rPr>
        <w:t>Обл</w:t>
      </w:r>
      <w:proofErr w:type="gramEnd"/>
      <w:r w:rsidRPr="000152DB">
        <w:rPr>
          <w:b/>
        </w:rPr>
        <w:t>ігації</w:t>
      </w:r>
      <w:r>
        <w:t xml:space="preserve"> належать до класу боргових цінних паперів, які є зобов’язаннями емітента, розміщеними на фондовому ринку для запозичення грошей на певних умовах. </w:t>
      </w:r>
    </w:p>
    <w:p w:rsidR="000152DB" w:rsidRDefault="000152DB" w:rsidP="003F3B76">
      <w:pPr>
        <w:spacing w:line="240" w:lineRule="auto"/>
        <w:ind w:firstLine="709"/>
        <w:rPr>
          <w:lang w:val="uk-UA"/>
        </w:rPr>
      </w:pPr>
      <w:r w:rsidRPr="000152DB">
        <w:rPr>
          <w:lang w:val="uk-UA"/>
        </w:rPr>
        <w:t xml:space="preserve">Для </w:t>
      </w:r>
      <w:r w:rsidRPr="000152DB">
        <w:rPr>
          <w:u w:val="single"/>
          <w:lang w:val="uk-UA"/>
        </w:rPr>
        <w:t>облігацій з нульовим купоном,</w:t>
      </w:r>
      <w:r w:rsidRPr="000152DB">
        <w:rPr>
          <w:lang w:val="uk-UA"/>
        </w:rPr>
        <w:t xml:space="preserve"> коли умовами емісії виплата процентів не передбачена, дохід інвестора формується як різниця між номіналом та емісійним курсом облігації, встановленим на дисконтній основі (тобто нижче за номінал). </w:t>
      </w:r>
      <w:r>
        <w:t xml:space="preserve">Отже, </w:t>
      </w:r>
      <w:proofErr w:type="gramStart"/>
      <w:r>
        <w:t>обл</w:t>
      </w:r>
      <w:proofErr w:type="gramEnd"/>
      <w:r>
        <w:t>ігації з нульовим купоном належать до дисконтних цінних паперів і генерують грошовий потік лише один раз. Інвестор отримує дохід в момент погашення, а формула (6.2) набирає вигляду:</w:t>
      </w:r>
    </w:p>
    <w:p w:rsidR="000152DB" w:rsidRDefault="000152DB" w:rsidP="003F3B76">
      <w:pPr>
        <w:spacing w:line="240" w:lineRule="auto"/>
        <w:ind w:firstLine="709"/>
        <w:rPr>
          <w:lang w:val="uk-UA"/>
        </w:rPr>
      </w:pPr>
      <m:oMathPara>
        <m:oMath>
          <m:r>
            <w:rPr>
              <w:rFonts w:ascii="Cambria Math" w:eastAsiaTheme="minorEastAsia" w:hAnsi="Cambria Math"/>
              <w:lang w:val="uk-UA"/>
            </w:rPr>
            <m:t xml:space="preserve">                                             </m:t>
          </m:r>
          <m:r>
            <w:rPr>
              <w:rFonts w:ascii="Cambria Math" w:hAnsi="Cambria Math"/>
              <w:lang w:val="uk-UA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1+d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n,</m:t>
                  </m:r>
                </m:sup>
              </m:sSup>
            </m:den>
          </m:f>
          <m:r>
            <w:rPr>
              <w:rFonts w:ascii="Cambria Math" w:hAnsi="Cambria Math"/>
              <w:lang w:val="uk-UA"/>
            </w:rPr>
            <m:t xml:space="preserve">                                                       (6.3)</m:t>
          </m:r>
        </m:oMath>
      </m:oMathPara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 w:rsidRPr="000152DB">
        <w:rPr>
          <w:lang w:val="uk-UA"/>
        </w:rPr>
        <w:t xml:space="preserve">де </w:t>
      </w:r>
      <w:r>
        <w:t>N</w:t>
      </w:r>
      <w:r w:rsidRPr="000152DB">
        <w:rPr>
          <w:lang w:val="uk-UA"/>
        </w:rPr>
        <w:t xml:space="preserve"> — номінальна сума облігації, яка виплачується під час погашення; 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>
        <w:t>n</w:t>
      </w:r>
      <w:r w:rsidRPr="000152DB">
        <w:rPr>
          <w:lang w:val="uk-UA"/>
        </w:rPr>
        <w:t xml:space="preserve"> — тривалість періоду до погашення </w:t>
      </w:r>
      <w:proofErr w:type="gramStart"/>
      <w:r w:rsidRPr="000152DB">
        <w:rPr>
          <w:lang w:val="uk-UA"/>
        </w:rPr>
        <w:t>обл</w:t>
      </w:r>
      <w:proofErr w:type="gramEnd"/>
      <w:r w:rsidRPr="000152DB">
        <w:rPr>
          <w:lang w:val="uk-UA"/>
        </w:rPr>
        <w:t>ігації (роки).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 w:rsidRPr="000152DB">
        <w:rPr>
          <w:u w:val="single"/>
        </w:rPr>
        <w:t>Купонними</w:t>
      </w:r>
      <w:r>
        <w:t xml:space="preserve"> називаються </w:t>
      </w:r>
      <w:proofErr w:type="gramStart"/>
      <w:r w:rsidRPr="000152DB">
        <w:rPr>
          <w:u w:val="single"/>
        </w:rPr>
        <w:t>обл</w:t>
      </w:r>
      <w:proofErr w:type="gramEnd"/>
      <w:r w:rsidRPr="000152DB">
        <w:rPr>
          <w:u w:val="single"/>
        </w:rPr>
        <w:t>ігації</w:t>
      </w:r>
      <w:r>
        <w:t xml:space="preserve">, умовами емісії яких передбачено виплату процентів у розрахунку на номінальну суму інвестиції, а виплати </w:t>
      </w:r>
      <w:r>
        <w:lastRenderedPageBreak/>
        <w:t xml:space="preserve">здійснюються за купонами — відрізними талонами із указаною на них величиною купонної ставки. 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>
        <w:t>Розрізняють</w:t>
      </w:r>
      <w:r w:rsidRPr="000A17D0">
        <w:t xml:space="preserve"> </w:t>
      </w:r>
      <w:proofErr w:type="gramStart"/>
      <w:r>
        <w:t>обл</w:t>
      </w:r>
      <w:proofErr w:type="gramEnd"/>
      <w:r>
        <w:t>ігації</w:t>
      </w:r>
      <w:r w:rsidRPr="000A17D0">
        <w:t xml:space="preserve"> </w:t>
      </w:r>
      <w:r>
        <w:t>з</w:t>
      </w:r>
      <w:r w:rsidRPr="000A17D0">
        <w:t xml:space="preserve"> </w:t>
      </w:r>
      <w:r>
        <w:t>фіксованою</w:t>
      </w:r>
      <w:r w:rsidRPr="000A17D0">
        <w:t xml:space="preserve"> </w:t>
      </w:r>
      <w:r>
        <w:t>купонною</w:t>
      </w:r>
      <w:r w:rsidRPr="000A17D0">
        <w:t xml:space="preserve"> </w:t>
      </w:r>
      <w:r>
        <w:t>ставкою</w:t>
      </w:r>
      <w:r w:rsidRPr="000A17D0">
        <w:t xml:space="preserve"> </w:t>
      </w:r>
      <w:r>
        <w:t>та</w:t>
      </w:r>
      <w:r w:rsidRPr="000A17D0">
        <w:t xml:space="preserve"> </w:t>
      </w:r>
      <w:r>
        <w:t>плаваючою</w:t>
      </w:r>
      <w:r w:rsidRPr="000A17D0">
        <w:t xml:space="preserve">, </w:t>
      </w:r>
      <w:r>
        <w:t>тобто</w:t>
      </w:r>
      <w:r w:rsidRPr="000A17D0">
        <w:t xml:space="preserve"> </w:t>
      </w:r>
      <w:r>
        <w:t>такою</w:t>
      </w:r>
      <w:r w:rsidRPr="000A17D0">
        <w:t xml:space="preserve">, </w:t>
      </w:r>
      <w:r>
        <w:t>яка</w:t>
      </w:r>
      <w:r w:rsidRPr="000A17D0">
        <w:t xml:space="preserve"> </w:t>
      </w:r>
      <w:r>
        <w:t>може</w:t>
      </w:r>
      <w:r w:rsidRPr="000A17D0">
        <w:t xml:space="preserve"> </w:t>
      </w:r>
      <w:r>
        <w:t>змінюватися</w:t>
      </w:r>
      <w:r w:rsidRPr="000A17D0">
        <w:t xml:space="preserve"> </w:t>
      </w:r>
      <w:r>
        <w:t>протягом</w:t>
      </w:r>
      <w:r w:rsidRPr="000A17D0">
        <w:t xml:space="preserve"> </w:t>
      </w:r>
      <w:r>
        <w:t>періоду</w:t>
      </w:r>
      <w:r w:rsidRPr="000A17D0">
        <w:t xml:space="preserve"> </w:t>
      </w:r>
      <w:r>
        <w:t>обігу</w:t>
      </w:r>
      <w:r w:rsidRPr="000A17D0">
        <w:t xml:space="preserve">. 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>
        <w:t>Купонні</w:t>
      </w:r>
      <w:r w:rsidRPr="000A17D0">
        <w:t xml:space="preserve"> </w:t>
      </w:r>
      <w:proofErr w:type="gramStart"/>
      <w:r>
        <w:t>обл</w:t>
      </w:r>
      <w:proofErr w:type="gramEnd"/>
      <w:r>
        <w:t>ігації</w:t>
      </w:r>
      <w:r w:rsidRPr="000A17D0">
        <w:t xml:space="preserve"> </w:t>
      </w:r>
      <w:r>
        <w:t>можуть</w:t>
      </w:r>
      <w:r w:rsidRPr="000A17D0">
        <w:t xml:space="preserve"> </w:t>
      </w:r>
      <w:r>
        <w:t>продаватися</w:t>
      </w:r>
      <w:r w:rsidRPr="000A17D0">
        <w:t xml:space="preserve"> </w:t>
      </w:r>
      <w:r>
        <w:t>як</w:t>
      </w:r>
      <w:r w:rsidRPr="000A17D0">
        <w:t xml:space="preserve"> </w:t>
      </w:r>
      <w:r>
        <w:t>за</w:t>
      </w:r>
      <w:r w:rsidRPr="000A17D0">
        <w:t xml:space="preserve"> </w:t>
      </w:r>
      <w:r>
        <w:t>номінальною</w:t>
      </w:r>
      <w:r w:rsidRPr="000A17D0">
        <w:t xml:space="preserve"> </w:t>
      </w:r>
      <w:r>
        <w:t>вартістю</w:t>
      </w:r>
      <w:r w:rsidRPr="000A17D0">
        <w:t xml:space="preserve">, </w:t>
      </w:r>
      <w:r>
        <w:t>так</w:t>
      </w:r>
      <w:r w:rsidRPr="000A17D0">
        <w:t xml:space="preserve"> </w:t>
      </w:r>
      <w:r>
        <w:t>і</w:t>
      </w:r>
      <w:r w:rsidRPr="000A17D0">
        <w:t xml:space="preserve"> </w:t>
      </w:r>
      <w:r>
        <w:t>з</w:t>
      </w:r>
      <w:r w:rsidRPr="000A17D0">
        <w:t xml:space="preserve"> </w:t>
      </w:r>
      <w:r>
        <w:t>дисконтом</w:t>
      </w:r>
      <w:r w:rsidRPr="000A17D0">
        <w:t xml:space="preserve"> </w:t>
      </w:r>
      <w:r>
        <w:t>або</w:t>
      </w:r>
      <w:r w:rsidRPr="000A17D0">
        <w:t xml:space="preserve"> </w:t>
      </w:r>
      <w:r>
        <w:t>премією</w:t>
      </w:r>
      <w:r w:rsidRPr="000A17D0">
        <w:t xml:space="preserve"> </w:t>
      </w:r>
      <w:r>
        <w:t>залежно</w:t>
      </w:r>
      <w:r w:rsidRPr="000A17D0">
        <w:t xml:space="preserve"> </w:t>
      </w:r>
      <w:r>
        <w:t>від</w:t>
      </w:r>
      <w:r w:rsidRPr="000A17D0">
        <w:t xml:space="preserve"> </w:t>
      </w:r>
      <w:r>
        <w:t>кон</w:t>
      </w:r>
      <w:r w:rsidRPr="000A17D0">
        <w:t>’</w:t>
      </w:r>
      <w:r>
        <w:t>юнктури</w:t>
      </w:r>
      <w:r w:rsidRPr="000A17D0">
        <w:t xml:space="preserve"> </w:t>
      </w:r>
      <w:r>
        <w:t>ринку</w:t>
      </w:r>
      <w:r w:rsidRPr="000A17D0">
        <w:t xml:space="preserve"> </w:t>
      </w:r>
      <w:r>
        <w:t>та</w:t>
      </w:r>
      <w:r w:rsidRPr="000A17D0">
        <w:t xml:space="preserve"> </w:t>
      </w:r>
      <w:r>
        <w:t>їхньої</w:t>
      </w:r>
      <w:r w:rsidRPr="000A17D0">
        <w:t xml:space="preserve"> </w:t>
      </w:r>
      <w:r>
        <w:t>привабливості</w:t>
      </w:r>
      <w:r w:rsidRPr="000A17D0">
        <w:t xml:space="preserve"> </w:t>
      </w:r>
      <w:r>
        <w:t>для</w:t>
      </w:r>
      <w:r w:rsidRPr="000A17D0">
        <w:t xml:space="preserve"> </w:t>
      </w:r>
      <w:r>
        <w:t>інвесторів</w:t>
      </w:r>
      <w:r w:rsidRPr="000A17D0">
        <w:t xml:space="preserve">. 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>
        <w:t>За</w:t>
      </w:r>
      <w:r w:rsidRPr="000A17D0">
        <w:t xml:space="preserve"> </w:t>
      </w:r>
      <w:proofErr w:type="gramStart"/>
      <w:r>
        <w:t>обл</w:t>
      </w:r>
      <w:proofErr w:type="gramEnd"/>
      <w:r>
        <w:t>ігаціями</w:t>
      </w:r>
      <w:r w:rsidRPr="000A17D0">
        <w:t xml:space="preserve"> </w:t>
      </w:r>
      <w:r>
        <w:t>з</w:t>
      </w:r>
      <w:r w:rsidRPr="000A17D0">
        <w:t xml:space="preserve"> </w:t>
      </w:r>
      <w:r>
        <w:t>фіксованою</w:t>
      </w:r>
      <w:r w:rsidRPr="000A17D0">
        <w:t xml:space="preserve"> </w:t>
      </w:r>
      <w:r>
        <w:t>купонною</w:t>
      </w:r>
      <w:r w:rsidRPr="000A17D0">
        <w:t xml:space="preserve"> </w:t>
      </w:r>
      <w:r>
        <w:t>ставкою</w:t>
      </w:r>
      <w:r w:rsidRPr="000A17D0">
        <w:t xml:space="preserve"> </w:t>
      </w:r>
      <w:r>
        <w:t>очікуваний</w:t>
      </w:r>
      <w:r w:rsidRPr="000A17D0">
        <w:t xml:space="preserve"> </w:t>
      </w:r>
      <w:r>
        <w:t>дохід</w:t>
      </w:r>
      <w:r w:rsidRPr="000A17D0">
        <w:t xml:space="preserve"> </w:t>
      </w:r>
      <w:r>
        <w:t>інвестора</w:t>
      </w:r>
      <w:r w:rsidRPr="000A17D0">
        <w:t xml:space="preserve"> </w:t>
      </w:r>
      <w:r>
        <w:t>складається</w:t>
      </w:r>
      <w:r w:rsidRPr="000A17D0">
        <w:t xml:space="preserve"> </w:t>
      </w:r>
      <w:r>
        <w:t>з</w:t>
      </w:r>
      <w:r w:rsidRPr="000A17D0">
        <w:t xml:space="preserve"> </w:t>
      </w:r>
      <w:r>
        <w:t>двох</w:t>
      </w:r>
      <w:r w:rsidRPr="000A17D0">
        <w:t xml:space="preserve"> </w:t>
      </w:r>
      <w:r>
        <w:t>частин</w:t>
      </w:r>
      <w:r w:rsidRPr="000A17D0">
        <w:t>: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 w:rsidRPr="000A17D0">
        <w:t xml:space="preserve"> </w:t>
      </w:r>
      <w:r>
        <w:sym w:font="Symbol" w:char="F0B7"/>
      </w:r>
      <w:r w:rsidRPr="000A17D0">
        <w:t xml:space="preserve"> </w:t>
      </w:r>
      <w:proofErr w:type="gramStart"/>
      <w:r>
        <w:t>р</w:t>
      </w:r>
      <w:proofErr w:type="gramEnd"/>
      <w:r>
        <w:t>івномірних</w:t>
      </w:r>
      <w:r w:rsidRPr="000A17D0">
        <w:t xml:space="preserve"> </w:t>
      </w:r>
      <w:r>
        <w:t>за</w:t>
      </w:r>
      <w:r w:rsidRPr="000A17D0">
        <w:t xml:space="preserve"> </w:t>
      </w:r>
      <w:r>
        <w:t>періодами</w:t>
      </w:r>
      <w:r w:rsidRPr="000A17D0">
        <w:t xml:space="preserve"> </w:t>
      </w:r>
      <w:r>
        <w:t>надходжень</w:t>
      </w:r>
      <w:r w:rsidRPr="000A17D0">
        <w:t xml:space="preserve"> </w:t>
      </w:r>
      <w:r>
        <w:t>відсоткових</w:t>
      </w:r>
      <w:r w:rsidRPr="000A17D0">
        <w:t xml:space="preserve"> </w:t>
      </w:r>
      <w:r>
        <w:t>виплат</w:t>
      </w:r>
      <w:r w:rsidRPr="000A17D0">
        <w:t xml:space="preserve">, </w:t>
      </w:r>
      <w:r>
        <w:t>обіцяних</w:t>
      </w:r>
      <w:r w:rsidRPr="000A17D0">
        <w:t xml:space="preserve"> </w:t>
      </w:r>
      <w:r>
        <w:t>емітентом</w:t>
      </w:r>
      <w:r w:rsidRPr="000A17D0">
        <w:t xml:space="preserve">; </w:t>
      </w:r>
    </w:p>
    <w:p w:rsidR="000152DB" w:rsidRPr="000A17D0" w:rsidRDefault="000152DB" w:rsidP="000152DB">
      <w:pPr>
        <w:tabs>
          <w:tab w:val="left" w:pos="1740"/>
        </w:tabs>
        <w:spacing w:line="240" w:lineRule="auto"/>
        <w:ind w:firstLine="709"/>
      </w:pPr>
      <w:r>
        <w:sym w:font="Symbol" w:char="F0B7"/>
      </w:r>
      <w:r w:rsidRPr="000152DB">
        <w:t xml:space="preserve"> </w:t>
      </w:r>
      <w:r>
        <w:t>імовірних</w:t>
      </w:r>
      <w:r w:rsidRPr="000152DB">
        <w:t xml:space="preserve"> </w:t>
      </w:r>
      <w:r>
        <w:t>капітальних</w:t>
      </w:r>
      <w:r w:rsidRPr="000152DB">
        <w:t xml:space="preserve"> </w:t>
      </w:r>
      <w:r>
        <w:t>приростів</w:t>
      </w:r>
      <w:r w:rsidRPr="000152DB">
        <w:t xml:space="preserve"> (</w:t>
      </w:r>
      <w:r>
        <w:t>збитків</w:t>
      </w:r>
      <w:r w:rsidRPr="000152DB">
        <w:t xml:space="preserve">) </w:t>
      </w:r>
      <w:r>
        <w:t>у</w:t>
      </w:r>
      <w:r w:rsidRPr="000152DB">
        <w:t xml:space="preserve"> </w:t>
      </w:r>
      <w:r>
        <w:t>результаті</w:t>
      </w:r>
      <w:r w:rsidRPr="000152DB">
        <w:t xml:space="preserve"> </w:t>
      </w:r>
      <w:r>
        <w:t>зміни</w:t>
      </w:r>
      <w:r w:rsidRPr="000152DB">
        <w:t xml:space="preserve"> </w:t>
      </w:r>
      <w:r>
        <w:t>ринкової</w:t>
      </w:r>
      <w:r w:rsidRPr="000152DB">
        <w:t xml:space="preserve"> </w:t>
      </w:r>
      <w:r>
        <w:t>ціни</w:t>
      </w:r>
      <w:r w:rsidRPr="000152DB">
        <w:t xml:space="preserve"> </w:t>
      </w:r>
      <w:proofErr w:type="gramStart"/>
      <w:r>
        <w:t>обл</w:t>
      </w:r>
      <w:proofErr w:type="gramEnd"/>
      <w:r>
        <w:t>ігації</w:t>
      </w:r>
      <w:r w:rsidRPr="000152DB">
        <w:t>.</w:t>
      </w:r>
    </w:p>
    <w:p w:rsidR="000152DB" w:rsidRPr="000152DB" w:rsidRDefault="000152DB" w:rsidP="000152DB">
      <w:pPr>
        <w:tabs>
          <w:tab w:val="left" w:pos="1740"/>
        </w:tabs>
        <w:spacing w:line="240" w:lineRule="auto"/>
        <w:ind w:firstLine="709"/>
      </w:pPr>
      <w:r w:rsidRPr="000152DB">
        <w:t xml:space="preserve"> </w:t>
      </w:r>
      <w:r>
        <w:t>Базова</w:t>
      </w:r>
      <w:r w:rsidRPr="000152DB">
        <w:t xml:space="preserve"> </w:t>
      </w:r>
      <w:r>
        <w:t>модель</w:t>
      </w:r>
      <w:r w:rsidRPr="000152DB">
        <w:t xml:space="preserve"> </w:t>
      </w:r>
      <w:proofErr w:type="gramStart"/>
      <w:r>
        <w:t>в</w:t>
      </w:r>
      <w:proofErr w:type="gramEnd"/>
      <w:r w:rsidRPr="000152DB">
        <w:t xml:space="preserve"> </w:t>
      </w:r>
      <w:proofErr w:type="gramStart"/>
      <w:r>
        <w:t>такому</w:t>
      </w:r>
      <w:proofErr w:type="gramEnd"/>
      <w:r w:rsidRPr="000152DB">
        <w:t xml:space="preserve"> </w:t>
      </w:r>
      <w:r>
        <w:t>разі</w:t>
      </w:r>
      <w:r w:rsidRPr="000152DB">
        <w:t xml:space="preserve"> </w:t>
      </w:r>
      <w:r>
        <w:t>має</w:t>
      </w:r>
      <w:r w:rsidRPr="000152DB">
        <w:t xml:space="preserve"> </w:t>
      </w:r>
      <w:r>
        <w:t>вигляд</w:t>
      </w:r>
      <w:r w:rsidRPr="000152DB">
        <w:t>:</w:t>
      </w:r>
    </w:p>
    <w:p w:rsidR="000152DB" w:rsidRDefault="000152DB" w:rsidP="000152DB">
      <w:pPr>
        <w:tabs>
          <w:tab w:val="left" w:pos="1740"/>
        </w:tabs>
        <w:spacing w:line="240" w:lineRule="auto"/>
        <w:ind w:firstLine="709"/>
      </w:pPr>
      <m:oMathPara>
        <m:oMath>
          <m:r>
            <w:rPr>
              <w:rFonts w:ascii="Cambria Math" w:hAnsi="Cambria Math"/>
            </w:rPr>
            <m:t xml:space="preserve">v=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k×N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1+d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i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,                                   (6.5)</m:t>
          </m:r>
        </m:oMath>
      </m:oMathPara>
    </w:p>
    <w:p w:rsidR="000152DB" w:rsidRDefault="000152DB" w:rsidP="000152DB"/>
    <w:p w:rsidR="000152DB" w:rsidRPr="000A17D0" w:rsidRDefault="000152DB" w:rsidP="000152DB">
      <w:pPr>
        <w:tabs>
          <w:tab w:val="left" w:pos="709"/>
        </w:tabs>
      </w:pPr>
      <w:r>
        <w:tab/>
        <w:t xml:space="preserve">де k — купонна ставка </w:t>
      </w:r>
      <w:proofErr w:type="gramStart"/>
      <w:r>
        <w:t>обл</w:t>
      </w:r>
      <w:proofErr w:type="gramEnd"/>
      <w:r>
        <w:t>ігації.</w:t>
      </w:r>
    </w:p>
    <w:p w:rsidR="00811766" w:rsidRDefault="00811766" w:rsidP="00811766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>Для</w:t>
      </w:r>
      <w:r w:rsidRPr="000A17D0">
        <w:t xml:space="preserve"> </w:t>
      </w:r>
      <w:proofErr w:type="gramStart"/>
      <w:r w:rsidRPr="00811766">
        <w:rPr>
          <w:u w:val="single"/>
        </w:rPr>
        <w:t>обл</w:t>
      </w:r>
      <w:proofErr w:type="gramEnd"/>
      <w:r w:rsidRPr="00811766">
        <w:rPr>
          <w:u w:val="single"/>
        </w:rPr>
        <w:t>ігацій</w:t>
      </w:r>
      <w:r w:rsidRPr="000A17D0">
        <w:rPr>
          <w:u w:val="single"/>
        </w:rPr>
        <w:t xml:space="preserve"> </w:t>
      </w:r>
      <w:r w:rsidRPr="00811766">
        <w:rPr>
          <w:u w:val="single"/>
        </w:rPr>
        <w:t>з</w:t>
      </w:r>
      <w:r w:rsidRPr="000A17D0">
        <w:rPr>
          <w:u w:val="single"/>
        </w:rPr>
        <w:t xml:space="preserve"> </w:t>
      </w:r>
      <w:r w:rsidRPr="00811766">
        <w:rPr>
          <w:u w:val="single"/>
        </w:rPr>
        <w:t>плаваючою</w:t>
      </w:r>
      <w:r w:rsidRPr="000A17D0">
        <w:rPr>
          <w:u w:val="single"/>
        </w:rPr>
        <w:t xml:space="preserve"> </w:t>
      </w:r>
      <w:r w:rsidRPr="00811766">
        <w:rPr>
          <w:u w:val="single"/>
        </w:rPr>
        <w:t>купонною</w:t>
      </w:r>
      <w:r w:rsidRPr="000A17D0">
        <w:rPr>
          <w:u w:val="single"/>
        </w:rPr>
        <w:t xml:space="preserve"> </w:t>
      </w:r>
      <w:r w:rsidRPr="00811766">
        <w:rPr>
          <w:u w:val="single"/>
        </w:rPr>
        <w:t>ставкою</w:t>
      </w:r>
      <w:r w:rsidRPr="000A17D0">
        <w:t xml:space="preserve"> </w:t>
      </w:r>
      <w:r>
        <w:t>згідно</w:t>
      </w:r>
      <w:r w:rsidRPr="000A17D0">
        <w:t xml:space="preserve"> </w:t>
      </w:r>
      <w:r>
        <w:t>з</w:t>
      </w:r>
      <w:r w:rsidRPr="000A17D0">
        <w:t xml:space="preserve"> </w:t>
      </w:r>
      <w:r>
        <w:t>умовами</w:t>
      </w:r>
      <w:r w:rsidRPr="000A17D0">
        <w:t xml:space="preserve"> </w:t>
      </w:r>
      <w:r>
        <w:t>емісії</w:t>
      </w:r>
      <w:r w:rsidRPr="000A17D0">
        <w:t xml:space="preserve"> </w:t>
      </w:r>
      <w:r>
        <w:t>рівень</w:t>
      </w:r>
      <w:r w:rsidRPr="000A17D0">
        <w:t xml:space="preserve"> </w:t>
      </w:r>
      <w:r>
        <w:t>купонної</w:t>
      </w:r>
      <w:r w:rsidRPr="000A17D0">
        <w:t xml:space="preserve"> </w:t>
      </w:r>
      <w:r>
        <w:t>ставки</w:t>
      </w:r>
      <w:r w:rsidRPr="000A17D0">
        <w:t xml:space="preserve"> </w:t>
      </w:r>
      <w:r>
        <w:t>не</w:t>
      </w:r>
      <w:r w:rsidRPr="000A17D0">
        <w:t xml:space="preserve"> </w:t>
      </w:r>
      <w:r>
        <w:t>фіксується</w:t>
      </w:r>
      <w:r w:rsidRPr="000A17D0">
        <w:t xml:space="preserve">, </w:t>
      </w:r>
      <w:r>
        <w:t>і</w:t>
      </w:r>
      <w:r w:rsidRPr="000A17D0">
        <w:t xml:space="preserve"> </w:t>
      </w:r>
      <w:r>
        <w:t>вона</w:t>
      </w:r>
      <w:r w:rsidRPr="000A17D0">
        <w:t xml:space="preserve"> </w:t>
      </w:r>
      <w:r>
        <w:t>змінюється</w:t>
      </w:r>
      <w:r w:rsidRPr="000A17D0">
        <w:t xml:space="preserve"> </w:t>
      </w:r>
      <w:r>
        <w:t>залежно</w:t>
      </w:r>
      <w:r w:rsidRPr="000A17D0">
        <w:t xml:space="preserve"> </w:t>
      </w:r>
      <w:r>
        <w:t>від</w:t>
      </w:r>
      <w:r w:rsidRPr="000A17D0">
        <w:t xml:space="preserve"> </w:t>
      </w:r>
      <w:r>
        <w:t>рівня</w:t>
      </w:r>
      <w:r w:rsidRPr="000A17D0">
        <w:t xml:space="preserve"> </w:t>
      </w:r>
      <w:r>
        <w:t>інфляції</w:t>
      </w:r>
      <w:r w:rsidRPr="000A17D0">
        <w:t xml:space="preserve"> </w:t>
      </w:r>
      <w:r>
        <w:t>чи</w:t>
      </w:r>
      <w:r w:rsidRPr="000A17D0">
        <w:t xml:space="preserve"> </w:t>
      </w:r>
      <w:r>
        <w:t>ставки</w:t>
      </w:r>
      <w:r w:rsidRPr="000A17D0">
        <w:t xml:space="preserve"> </w:t>
      </w:r>
      <w:r>
        <w:t>відсотка</w:t>
      </w:r>
      <w:r w:rsidRPr="000A17D0">
        <w:t xml:space="preserve"> </w:t>
      </w:r>
      <w:r>
        <w:t>за</w:t>
      </w:r>
      <w:r w:rsidRPr="000A17D0">
        <w:t xml:space="preserve"> </w:t>
      </w:r>
      <w:r>
        <w:t>кредитами</w:t>
      </w:r>
      <w:r w:rsidRPr="000A17D0">
        <w:t xml:space="preserve">. </w:t>
      </w:r>
      <w:r>
        <w:t>Внутрішня</w:t>
      </w:r>
      <w:r w:rsidRPr="00811766">
        <w:rPr>
          <w:lang w:val="en-US"/>
        </w:rPr>
        <w:t xml:space="preserve"> </w:t>
      </w:r>
      <w:r>
        <w:t>вартість</w:t>
      </w:r>
      <w:r w:rsidRPr="00811766">
        <w:rPr>
          <w:lang w:val="en-US"/>
        </w:rPr>
        <w:t xml:space="preserve"> </w:t>
      </w:r>
      <w:r>
        <w:t>таких</w:t>
      </w:r>
      <w:r w:rsidRPr="00811766">
        <w:rPr>
          <w:lang w:val="en-US"/>
        </w:rPr>
        <w:t xml:space="preserve"> </w:t>
      </w:r>
      <w:proofErr w:type="gramStart"/>
      <w:r>
        <w:t>обл</w:t>
      </w:r>
      <w:proofErr w:type="gramEnd"/>
      <w:r>
        <w:t>ігацій</w:t>
      </w:r>
      <w:r w:rsidRPr="00811766">
        <w:rPr>
          <w:lang w:val="en-US"/>
        </w:rPr>
        <w:t xml:space="preserve"> </w:t>
      </w:r>
      <w:r>
        <w:t>обчислюється</w:t>
      </w:r>
      <w:r w:rsidRPr="00811766">
        <w:rPr>
          <w:lang w:val="en-US"/>
        </w:rPr>
        <w:t xml:space="preserve"> </w:t>
      </w:r>
      <w:r>
        <w:t>за</w:t>
      </w:r>
      <w:r w:rsidRPr="00811766">
        <w:rPr>
          <w:lang w:val="en-US"/>
        </w:rPr>
        <w:t xml:space="preserve"> </w:t>
      </w:r>
      <w:r>
        <w:t>формулою</w:t>
      </w:r>
      <w:r w:rsidRPr="00811766">
        <w:rPr>
          <w:lang w:val="en-US"/>
        </w:rPr>
        <w:t>:</w:t>
      </w:r>
    </w:p>
    <w:p w:rsidR="00811766" w:rsidRDefault="00811766" w:rsidP="00811766">
      <w:pPr>
        <w:tabs>
          <w:tab w:val="left" w:pos="1740"/>
        </w:tabs>
        <w:spacing w:line="240" w:lineRule="auto"/>
        <w:ind w:firstLine="709"/>
      </w:pPr>
      <m:oMathPara>
        <m:oMath>
          <m:r>
            <w:rPr>
              <w:rFonts w:ascii="Cambria Math" w:hAnsi="Cambria Math"/>
            </w:rPr>
            <m:t xml:space="preserve">v=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1+d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i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,                                   (6.6)</m:t>
          </m:r>
        </m:oMath>
      </m:oMathPara>
    </w:p>
    <w:p w:rsidR="00811766" w:rsidRPr="0010268B" w:rsidRDefault="0010268B" w:rsidP="00811766">
      <w:pPr>
        <w:tabs>
          <w:tab w:val="left" w:pos="709"/>
        </w:tabs>
        <w:spacing w:line="240" w:lineRule="auto"/>
        <w:ind w:firstLine="709"/>
      </w:pPr>
      <w:r>
        <w:t xml:space="preserve">де CFi — грошові потоки, згенеровані </w:t>
      </w:r>
      <w:proofErr w:type="gramStart"/>
      <w:r>
        <w:t>обл</w:t>
      </w:r>
      <w:proofErr w:type="gramEnd"/>
      <w:r>
        <w:t>ігацією в i-му періоді</w:t>
      </w:r>
      <w:r w:rsidRPr="0010268B">
        <w:t>.</w:t>
      </w:r>
    </w:p>
    <w:p w:rsidR="0010268B" w:rsidRPr="000A17D0" w:rsidRDefault="0010268B" w:rsidP="00811766">
      <w:pPr>
        <w:tabs>
          <w:tab w:val="left" w:pos="709"/>
        </w:tabs>
        <w:spacing w:line="240" w:lineRule="auto"/>
        <w:ind w:firstLine="709"/>
      </w:pPr>
    </w:p>
    <w:p w:rsidR="0010268B" w:rsidRPr="000A17D0" w:rsidRDefault="0010268B" w:rsidP="00811766">
      <w:pPr>
        <w:tabs>
          <w:tab w:val="left" w:pos="709"/>
        </w:tabs>
        <w:spacing w:line="240" w:lineRule="auto"/>
        <w:ind w:firstLine="709"/>
      </w:pPr>
      <w:r w:rsidRPr="0010268B">
        <w:rPr>
          <w:u w:val="single"/>
        </w:rPr>
        <w:t>Відкличними</w:t>
      </w:r>
      <w:r>
        <w:t xml:space="preserve"> називають </w:t>
      </w:r>
      <w:proofErr w:type="gramStart"/>
      <w:r>
        <w:t>обл</w:t>
      </w:r>
      <w:proofErr w:type="gramEnd"/>
      <w:r>
        <w:t>ігації, умовами випуску яких передбачено право емітента погасити їх до закінчення періоду обігу</w:t>
      </w:r>
      <w:r w:rsidRPr="0010268B">
        <w:t>.</w:t>
      </w:r>
    </w:p>
    <w:p w:rsidR="0010268B" w:rsidRPr="000A17D0" w:rsidRDefault="0010268B" w:rsidP="00811766">
      <w:pPr>
        <w:tabs>
          <w:tab w:val="left" w:pos="709"/>
        </w:tabs>
        <w:spacing w:line="240" w:lineRule="auto"/>
        <w:ind w:firstLine="709"/>
      </w:pPr>
      <w:r>
        <w:t xml:space="preserve">За умови дострокового відкликання (чи продажу) дохідність </w:t>
      </w:r>
      <w:proofErr w:type="gramStart"/>
      <w:r>
        <w:t>обл</w:t>
      </w:r>
      <w:proofErr w:type="gramEnd"/>
      <w:r>
        <w:t>ігації за період зберігання обчислюється за формулою:</w:t>
      </w:r>
    </w:p>
    <w:p w:rsidR="0010268B" w:rsidRDefault="0010268B" w:rsidP="0010268B">
      <w:pPr>
        <w:tabs>
          <w:tab w:val="left" w:pos="1740"/>
        </w:tabs>
        <w:spacing w:line="240" w:lineRule="auto"/>
        <w:ind w:firstLine="709"/>
      </w:pPr>
      <m:oMathPara>
        <m:oMath>
          <m:r>
            <w:rPr>
              <w:rFonts w:ascii="Cambria Math" w:hAnsi="Cambria Math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1+d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i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=P,                                   (6.7)</m:t>
          </m:r>
        </m:oMath>
      </m:oMathPara>
    </w:p>
    <w:p w:rsidR="0010268B" w:rsidRDefault="0010268B" w:rsidP="00811766">
      <w:pPr>
        <w:tabs>
          <w:tab w:val="left" w:pos="709"/>
        </w:tabs>
        <w:spacing w:line="240" w:lineRule="auto"/>
        <w:ind w:firstLine="709"/>
        <w:rPr>
          <w:lang w:val="uk-UA"/>
        </w:rPr>
      </w:pPr>
    </w:p>
    <w:p w:rsidR="0010268B" w:rsidRDefault="0010268B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10268B">
        <w:rPr>
          <w:lang w:val="uk-UA"/>
        </w:rPr>
        <w:t xml:space="preserve">де </w:t>
      </w:r>
      <w:r>
        <w:t>n</w:t>
      </w:r>
      <w:r w:rsidRPr="0010268B">
        <w:rPr>
          <w:lang w:val="uk-UA"/>
        </w:rPr>
        <w:t xml:space="preserve"> — кількість періодів, протягом яких облігація була в обігу; </w:t>
      </w:r>
    </w:p>
    <w:p w:rsidR="0010268B" w:rsidRDefault="0010268B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10268B">
        <w:rPr>
          <w:lang w:val="uk-UA"/>
        </w:rPr>
        <w:t xml:space="preserve">Р — викупна ціна або поточна ринкова ціна, за якою облігацію можна продати; </w:t>
      </w:r>
    </w:p>
    <w:p w:rsidR="0010268B" w:rsidRDefault="0010268B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d</w:t>
      </w:r>
      <w:r w:rsidRPr="0010268B">
        <w:rPr>
          <w:lang w:val="uk-UA"/>
        </w:rPr>
        <w:t xml:space="preserve"> — дохідність цінного папера до моменту від</w:t>
      </w:r>
      <w:r>
        <w:rPr>
          <w:lang w:val="uk-UA"/>
        </w:rPr>
        <w:t xml:space="preserve">кликання або </w:t>
      </w:r>
      <w:proofErr w:type="gramStart"/>
      <w:r>
        <w:rPr>
          <w:lang w:val="uk-UA"/>
        </w:rPr>
        <w:t>за</w:t>
      </w:r>
      <w:proofErr w:type="gramEnd"/>
      <w:r>
        <w:rPr>
          <w:lang w:val="uk-UA"/>
        </w:rPr>
        <w:t xml:space="preserve"> період зберігання.</w:t>
      </w:r>
    </w:p>
    <w:p w:rsidR="00F51C05" w:rsidRDefault="00F51C05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F51C05">
        <w:rPr>
          <w:b/>
        </w:rPr>
        <w:t xml:space="preserve">Акція </w:t>
      </w:r>
      <w:r>
        <w:t>— це цінний папі</w:t>
      </w:r>
      <w:proofErr w:type="gramStart"/>
      <w:r>
        <w:t>р</w:t>
      </w:r>
      <w:proofErr w:type="gramEnd"/>
      <w:r>
        <w:t>, що засвідчує право на участь у власному капіталі її емітента</w:t>
      </w:r>
      <w:r>
        <w:rPr>
          <w:lang w:val="uk-UA"/>
        </w:rPr>
        <w:t>.</w:t>
      </w:r>
    </w:p>
    <w:p w:rsidR="00F51C05" w:rsidRDefault="00F51C05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lastRenderedPageBreak/>
        <w:t>Якщо сума дивіденді</w:t>
      </w:r>
      <w:proofErr w:type="gramStart"/>
      <w:r>
        <w:t>в</w:t>
      </w:r>
      <w:proofErr w:type="gramEnd"/>
      <w:r>
        <w:t xml:space="preserve">, </w:t>
      </w:r>
      <w:proofErr w:type="gramStart"/>
      <w:r>
        <w:t>як</w:t>
      </w:r>
      <w:proofErr w:type="gramEnd"/>
      <w:r>
        <w:t>і виплачуються власнику акції, є сталою величиною, то базова модель (6.2) перетворюється в формулу суми членів нескінченно спадної геометричної прогресії:</w:t>
      </w:r>
    </w:p>
    <w:p w:rsidR="000A17D0" w:rsidRPr="000A17D0" w:rsidRDefault="000A17D0" w:rsidP="00F51C05">
      <w:pPr>
        <w:tabs>
          <w:tab w:val="left" w:pos="709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E</m:t>
              </m:r>
            </m:num>
            <m:den>
              <m:r>
                <w:rPr>
                  <w:rFonts w:ascii="Cambria Math" w:hAnsi="Cambria Math"/>
                  <w:lang w:val="uk-UA"/>
                </w:rPr>
                <m:t>d</m:t>
              </m:r>
            </m:den>
          </m:f>
          <m:r>
            <w:rPr>
              <w:rFonts w:ascii="Cambria Math" w:hAnsi="Cambria Math"/>
              <w:lang w:val="uk-UA"/>
            </w:rPr>
            <m:t>,                                                                       (6.8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0A17D0" w:rsidRDefault="000A17D0" w:rsidP="00F51C05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>де Е — грошовий поті</w:t>
      </w:r>
      <w:proofErr w:type="gramStart"/>
      <w:r>
        <w:t>к</w:t>
      </w:r>
      <w:proofErr w:type="gramEnd"/>
      <w:r>
        <w:t xml:space="preserve"> у вигляді дивідендів; </w:t>
      </w:r>
    </w:p>
    <w:p w:rsidR="000A17D0" w:rsidRDefault="000A17D0" w:rsidP="00F51C05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>d — ставка дисконтування.</w:t>
      </w:r>
    </w:p>
    <w:p w:rsidR="000A17D0" w:rsidRDefault="000A17D0" w:rsidP="00F51C05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 xml:space="preserve">Якщо дивіденди, що виплачуються власникам акцій, постійно та </w:t>
      </w:r>
      <w:proofErr w:type="gramStart"/>
      <w:r>
        <w:t>р</w:t>
      </w:r>
      <w:proofErr w:type="gramEnd"/>
      <w:r>
        <w:t>івномірно зростають, то на внутрішню вартість впливають два чинники: базова величина дивідендів (E) та темпи їх приросту (h). Базова модель (6.2) в цьому випадку матиме вигляд:</w:t>
      </w:r>
    </w:p>
    <w:p w:rsidR="000A17D0" w:rsidRPr="000A17D0" w:rsidRDefault="000A17D0" w:rsidP="00F51C05">
      <w:pPr>
        <w:tabs>
          <w:tab w:val="left" w:pos="709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 xml:space="preserve">v=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E×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h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1+d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lang w:val="en-US"/>
            </w:rPr>
            <m:t>.                                                  (6.9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0A17D0" w:rsidRDefault="000A17D0" w:rsidP="00F51C05">
      <w:pPr>
        <w:tabs>
          <w:tab w:val="left" w:pos="709"/>
        </w:tabs>
        <w:spacing w:line="240" w:lineRule="auto"/>
        <w:ind w:firstLine="709"/>
        <w:rPr>
          <w:lang w:val="en-US"/>
        </w:rPr>
      </w:pPr>
      <w:proofErr w:type="gramStart"/>
      <w:r>
        <w:t>П</w:t>
      </w:r>
      <w:proofErr w:type="gramEnd"/>
      <w:r>
        <w:t xml:space="preserve">ісля певних математичних перетворень одержують формулу, відому як модель М. Гордона. Ця модель є справедливою за умови, коли ставка дисконтування вища за темпи приросту дивідендів, тобто за d </w:t>
      </w:r>
      <w:r>
        <w:sym w:font="Symbol" w:char="F03E"/>
      </w:r>
      <w:r>
        <w:t xml:space="preserve"> h</w:t>
      </w:r>
      <w:proofErr w:type="gramStart"/>
      <w:r>
        <w:t xml:space="preserve"> :</w:t>
      </w:r>
      <w:proofErr w:type="gramEnd"/>
    </w:p>
    <w:p w:rsidR="000A17D0" w:rsidRPr="000A17D0" w:rsidRDefault="000A17D0" w:rsidP="000A17D0">
      <w:pPr>
        <w:tabs>
          <w:tab w:val="left" w:pos="709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E×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d-h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 xml:space="preserve">.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6.10</m:t>
              </m:r>
            </m:e>
          </m:d>
        </m:oMath>
      </m:oMathPara>
    </w:p>
    <w:p w:rsidR="000A17D0" w:rsidRPr="000A17D0" w:rsidRDefault="000A17D0" w:rsidP="000A17D0">
      <w:pPr>
        <w:tabs>
          <w:tab w:val="left" w:pos="709"/>
        </w:tabs>
        <w:spacing w:line="240" w:lineRule="auto"/>
        <w:ind w:firstLine="709"/>
        <w:rPr>
          <w:rFonts w:eastAsiaTheme="minorEastAsia"/>
          <w:lang w:val="en-US"/>
        </w:rPr>
      </w:pPr>
    </w:p>
    <w:p w:rsidR="000A17D0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>
        <w:t>Р</w:t>
      </w:r>
      <w:proofErr w:type="gramEnd"/>
      <w:r>
        <w:t>ішення</w:t>
      </w:r>
      <w:r w:rsidRPr="002B640C">
        <w:rPr>
          <w:lang w:val="en-US"/>
        </w:rPr>
        <w:t xml:space="preserve"> </w:t>
      </w:r>
      <w:r>
        <w:t>інвестиційного</w:t>
      </w:r>
      <w:r w:rsidRPr="002B640C">
        <w:rPr>
          <w:lang w:val="en-US"/>
        </w:rPr>
        <w:t xml:space="preserve"> </w:t>
      </w:r>
      <w:r>
        <w:t>менеджменту</w:t>
      </w:r>
      <w:r w:rsidRPr="002B640C">
        <w:rPr>
          <w:lang w:val="en-US"/>
        </w:rPr>
        <w:t xml:space="preserve"> </w:t>
      </w:r>
      <w:r>
        <w:t>банку</w:t>
      </w:r>
      <w:r w:rsidRPr="002B640C">
        <w:rPr>
          <w:lang w:val="en-US"/>
        </w:rPr>
        <w:t xml:space="preserve"> </w:t>
      </w:r>
      <w:r>
        <w:t>щодо</w:t>
      </w:r>
      <w:r w:rsidRPr="002B640C">
        <w:rPr>
          <w:lang w:val="en-US"/>
        </w:rPr>
        <w:t xml:space="preserve"> </w:t>
      </w:r>
      <w:r>
        <w:t>купівлі</w:t>
      </w:r>
      <w:r w:rsidRPr="002B640C">
        <w:rPr>
          <w:lang w:val="en-US"/>
        </w:rPr>
        <w:t xml:space="preserve"> </w:t>
      </w:r>
      <w:r>
        <w:t>чи</w:t>
      </w:r>
      <w:r w:rsidRPr="002B640C">
        <w:rPr>
          <w:lang w:val="en-US"/>
        </w:rPr>
        <w:t xml:space="preserve"> </w:t>
      </w:r>
      <w:r>
        <w:t>продажу</w:t>
      </w:r>
      <w:r w:rsidRPr="002B640C">
        <w:rPr>
          <w:lang w:val="en-US"/>
        </w:rPr>
        <w:t xml:space="preserve"> </w:t>
      </w:r>
      <w:r>
        <w:t>тих</w:t>
      </w:r>
      <w:r w:rsidRPr="002B640C">
        <w:rPr>
          <w:lang w:val="en-US"/>
        </w:rPr>
        <w:t xml:space="preserve"> </w:t>
      </w:r>
      <w:r>
        <w:t>чи</w:t>
      </w:r>
      <w:r w:rsidRPr="002B640C">
        <w:rPr>
          <w:lang w:val="en-US"/>
        </w:rPr>
        <w:t xml:space="preserve"> </w:t>
      </w:r>
      <w:r>
        <w:t>інших</w:t>
      </w:r>
      <w:r w:rsidRPr="002B640C">
        <w:rPr>
          <w:lang w:val="en-US"/>
        </w:rPr>
        <w:t xml:space="preserve"> </w:t>
      </w:r>
      <w:r>
        <w:t>цінних</w:t>
      </w:r>
      <w:r w:rsidRPr="002B640C">
        <w:rPr>
          <w:lang w:val="en-US"/>
        </w:rPr>
        <w:t xml:space="preserve"> </w:t>
      </w:r>
      <w:r>
        <w:t>паперів</w:t>
      </w:r>
      <w:r w:rsidRPr="002B640C">
        <w:rPr>
          <w:lang w:val="en-US"/>
        </w:rPr>
        <w:t xml:space="preserve"> </w:t>
      </w:r>
      <w:r>
        <w:t>слід</w:t>
      </w:r>
      <w:r w:rsidRPr="002B640C">
        <w:rPr>
          <w:lang w:val="en-US"/>
        </w:rPr>
        <w:t xml:space="preserve"> </w:t>
      </w:r>
      <w:r>
        <w:t>приймати</w:t>
      </w:r>
      <w:r w:rsidRPr="002B640C">
        <w:rPr>
          <w:lang w:val="en-US"/>
        </w:rPr>
        <w:t xml:space="preserve"> </w:t>
      </w:r>
      <w:r>
        <w:t>після</w:t>
      </w:r>
      <w:r w:rsidRPr="002B640C">
        <w:rPr>
          <w:lang w:val="en-US"/>
        </w:rPr>
        <w:t xml:space="preserve"> </w:t>
      </w:r>
      <w:r>
        <w:t>ретельного</w:t>
      </w:r>
      <w:r w:rsidRPr="002B640C">
        <w:rPr>
          <w:lang w:val="en-US"/>
        </w:rPr>
        <w:t xml:space="preserve"> </w:t>
      </w:r>
      <w:r>
        <w:t>дослідження</w:t>
      </w:r>
      <w:r w:rsidRPr="002B640C">
        <w:rPr>
          <w:lang w:val="en-US"/>
        </w:rPr>
        <w:t xml:space="preserve"> </w:t>
      </w:r>
      <w:r>
        <w:t>та</w:t>
      </w:r>
      <w:r w:rsidRPr="002B640C">
        <w:rPr>
          <w:lang w:val="en-US"/>
        </w:rPr>
        <w:t xml:space="preserve"> </w:t>
      </w:r>
      <w:r>
        <w:t>обчислення</w:t>
      </w:r>
      <w:r w:rsidRPr="002B640C">
        <w:rPr>
          <w:lang w:val="en-US"/>
        </w:rPr>
        <w:t xml:space="preserve"> </w:t>
      </w:r>
      <w:r>
        <w:t>як</w:t>
      </w:r>
      <w:r w:rsidRPr="002B640C">
        <w:rPr>
          <w:lang w:val="en-US"/>
        </w:rPr>
        <w:t xml:space="preserve"> </w:t>
      </w:r>
      <w:r>
        <w:t>рівня</w:t>
      </w:r>
      <w:r w:rsidRPr="002B640C">
        <w:rPr>
          <w:lang w:val="en-US"/>
        </w:rPr>
        <w:t xml:space="preserve"> </w:t>
      </w:r>
      <w:r>
        <w:t>дохідності</w:t>
      </w:r>
      <w:r w:rsidRPr="002B640C">
        <w:rPr>
          <w:lang w:val="en-US"/>
        </w:rPr>
        <w:t xml:space="preserve">, </w:t>
      </w:r>
      <w:r>
        <w:t>так</w:t>
      </w:r>
      <w:r w:rsidRPr="002B640C">
        <w:rPr>
          <w:lang w:val="en-US"/>
        </w:rPr>
        <w:t xml:space="preserve"> </w:t>
      </w:r>
      <w:r>
        <w:t>і</w:t>
      </w:r>
      <w:r w:rsidRPr="002B640C">
        <w:rPr>
          <w:lang w:val="en-US"/>
        </w:rPr>
        <w:t xml:space="preserve"> </w:t>
      </w:r>
      <w:r>
        <w:t>рівня</w:t>
      </w:r>
      <w:r w:rsidRPr="002B640C">
        <w:rPr>
          <w:lang w:val="en-US"/>
        </w:rPr>
        <w:t xml:space="preserve"> </w:t>
      </w:r>
      <w:r>
        <w:t>ризикованості</w:t>
      </w:r>
      <w:r w:rsidRPr="002B640C">
        <w:rPr>
          <w:lang w:val="en-US"/>
        </w:rPr>
        <w:t xml:space="preserve"> </w:t>
      </w:r>
      <w:r>
        <w:t>конкретних</w:t>
      </w:r>
      <w:r w:rsidRPr="002B640C">
        <w:rPr>
          <w:lang w:val="en-US"/>
        </w:rPr>
        <w:t xml:space="preserve"> </w:t>
      </w:r>
      <w:r>
        <w:t>цінних</w:t>
      </w:r>
      <w:r w:rsidRPr="002B640C">
        <w:rPr>
          <w:lang w:val="en-US"/>
        </w:rPr>
        <w:t xml:space="preserve"> </w:t>
      </w:r>
      <w:r>
        <w:t>паперів</w:t>
      </w:r>
      <w:r w:rsidRPr="002B640C">
        <w:rPr>
          <w:lang w:val="en-US"/>
        </w:rPr>
        <w:t>.</w:t>
      </w:r>
    </w:p>
    <w:p w:rsidR="002B640C" w:rsidRP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</w:p>
    <w:p w:rsidR="002B640C" w:rsidRDefault="002B640C" w:rsidP="002B640C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2B640C">
        <w:rPr>
          <w:b/>
        </w:rPr>
        <w:t>Методи оцінки ризику та ефективності управління портфелем цінних паперів банку</w:t>
      </w:r>
      <w:r w:rsidRPr="002B640C">
        <w:rPr>
          <w:b/>
          <w:lang w:val="uk-UA"/>
        </w:rPr>
        <w:t>.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Ризик портфеля цінних паперів полягає в тому, що очікування власника щодо його дохідності можуть не виправдатися і деяку частину доході</w:t>
      </w:r>
      <w:proofErr w:type="gramStart"/>
      <w:r>
        <w:t>в</w:t>
      </w:r>
      <w:proofErr w:type="gramEnd"/>
      <w:r>
        <w:t xml:space="preserve"> не буде отримано. При цьому оцінюється очікуваний дохід, а інвестиційний ризик розглядається як невизначеність щодо одержання цього доходу, тобто ступінь мінливості (варіабельності) доходу.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2B640C">
        <w:rPr>
          <w:u w:val="single"/>
          <w:lang w:val="uk-UA"/>
        </w:rPr>
        <w:t>Оцінка портфельного ризику складається з трьох етапів</w:t>
      </w:r>
      <w:r w:rsidRPr="002B640C">
        <w:rPr>
          <w:lang w:val="uk-UA"/>
        </w:rPr>
        <w:t xml:space="preserve">: </w:t>
      </w:r>
    </w:p>
    <w:p w:rsidR="002B640C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="002B640C" w:rsidRPr="002B640C">
        <w:rPr>
          <w:lang w:val="uk-UA"/>
        </w:rPr>
        <w:t xml:space="preserve">оцінка ризику окремих цінних паперів; </w:t>
      </w:r>
    </w:p>
    <w:p w:rsidR="002B640C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="002B640C" w:rsidRPr="002B640C">
        <w:rPr>
          <w:lang w:val="uk-UA"/>
        </w:rPr>
        <w:t xml:space="preserve">з’ясування ступеня їх взаємовпливу; </w:t>
      </w:r>
    </w:p>
    <w:p w:rsidR="002B640C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="002B640C" w:rsidRPr="002B640C">
        <w:rPr>
          <w:lang w:val="uk-UA"/>
        </w:rPr>
        <w:t xml:space="preserve">визначення сукупного ризику портфеля.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2B640C">
        <w:rPr>
          <w:lang w:val="uk-UA"/>
        </w:rPr>
        <w:t>Ризики, пов’язані з проведенням операцій з цінними паперами, не однорідні за сво</w:t>
      </w:r>
      <w:r>
        <w:rPr>
          <w:lang w:val="uk-UA"/>
        </w:rPr>
        <w:t>їм змістом, а тому банк має оці</w:t>
      </w:r>
      <w:r w:rsidRPr="002B640C">
        <w:rPr>
          <w:lang w:val="uk-UA"/>
        </w:rPr>
        <w:t>нювати та брати до уваги ос</w:t>
      </w:r>
      <w:r>
        <w:rPr>
          <w:lang w:val="uk-UA"/>
        </w:rPr>
        <w:t>новні види ризиків, на які нара</w:t>
      </w:r>
      <w:r w:rsidRPr="002B640C">
        <w:rPr>
          <w:lang w:val="uk-UA"/>
        </w:rPr>
        <w:t xml:space="preserve">жається інвестор у процесі придбання та зберігання цінних паперів, а саме: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2B640C">
        <w:rPr>
          <w:lang w:val="uk-UA"/>
        </w:rPr>
        <w:t xml:space="preserve">рівень ліквідності цінних паперів;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2B640C">
        <w:rPr>
          <w:lang w:val="uk-UA"/>
        </w:rPr>
        <w:t xml:space="preserve">ризик дострокового відкликання;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2B640C">
        <w:rPr>
          <w:lang w:val="uk-UA"/>
        </w:rPr>
        <w:t xml:space="preserve">інфляційний ризик;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2B640C">
        <w:rPr>
          <w:lang w:val="uk-UA"/>
        </w:rPr>
        <w:t xml:space="preserve">відсотковий, кредитний та діловий ризики;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2B640C">
        <w:rPr>
          <w:lang w:val="uk-UA"/>
        </w:rPr>
        <w:t xml:space="preserve">ризик, пов’язаний з тривалістю періоду обігу цінного папера. 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2B640C">
        <w:rPr>
          <w:b/>
          <w:lang w:val="uk-UA"/>
        </w:rPr>
        <w:lastRenderedPageBreak/>
        <w:t>Рівень ліквідності цінних паперів</w:t>
      </w:r>
      <w:r w:rsidRPr="002B640C">
        <w:rPr>
          <w:lang w:val="uk-UA"/>
        </w:rPr>
        <w:t xml:space="preserve"> визначається параметрами відповідного вторинного ринку, такими як обсяг операцій, активність торгівлі, правила оподаткування доходів від перепрода</w:t>
      </w:r>
      <w:r>
        <w:rPr>
          <w:lang w:val="uk-UA"/>
        </w:rPr>
        <w:t>жу цінних паперів, масштаби дія</w:t>
      </w:r>
      <w:r w:rsidRPr="002B640C">
        <w:rPr>
          <w:lang w:val="uk-UA"/>
        </w:rPr>
        <w:t>льності.</w:t>
      </w:r>
    </w:p>
    <w:p w:rsidR="002B640C" w:rsidRDefault="002B640C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Ліквідні цінні папери </w:t>
      </w:r>
      <w:r w:rsidR="000649A0">
        <w:rPr>
          <w:lang w:val="uk-UA"/>
        </w:rPr>
        <w:t>-</w:t>
      </w:r>
      <w:r>
        <w:t xml:space="preserve"> це фінансові інструменти, які можуть </w:t>
      </w:r>
      <w:proofErr w:type="gramStart"/>
      <w:r>
        <w:t>бути</w:t>
      </w:r>
      <w:proofErr w:type="gramEnd"/>
      <w:r>
        <w:t xml:space="preserve"> продані в будь</w:t>
      </w:r>
      <w:r>
        <w:softHyphen/>
      </w:r>
      <w:r>
        <w:rPr>
          <w:lang w:val="uk-UA"/>
        </w:rPr>
        <w:t>-</w:t>
      </w:r>
      <w:r>
        <w:t>який час без суттєвого зниження ціни. Ліквідні ринки характеризуються високою ймовірністю повернення початкової суми інвестиції та стабільністю ціни цінного папера протягом періоду обігу.</w:t>
      </w:r>
      <w:r w:rsidRPr="002B640C">
        <w:t xml:space="preserve"> </w:t>
      </w:r>
      <w:r>
        <w:t xml:space="preserve">Найбільш ліквідними цінними паперами в більшості країн </w:t>
      </w:r>
      <w:proofErr w:type="gramStart"/>
      <w:r>
        <w:t>св</w:t>
      </w:r>
      <w:proofErr w:type="gramEnd"/>
      <w:r>
        <w:t>іту вважаються зобов’язання уряду.</w:t>
      </w:r>
    </w:p>
    <w:p w:rsidR="002B640C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b/>
        </w:rPr>
        <w:t>Ризик дострокового погашення (відкликання)</w:t>
      </w:r>
      <w:r>
        <w:t xml:space="preserve"> полягає </w:t>
      </w:r>
      <w:proofErr w:type="gramStart"/>
      <w:r>
        <w:t>в</w:t>
      </w:r>
      <w:proofErr w:type="gramEnd"/>
      <w:r>
        <w:t xml:space="preserve"> </w:t>
      </w:r>
      <w:proofErr w:type="gramStart"/>
      <w:r>
        <w:t>тому</w:t>
      </w:r>
      <w:proofErr w:type="gramEnd"/>
      <w:r>
        <w:t xml:space="preserve">, що деякі емітенти залишають за собою право погашення цінних паперів до закінчення періоду обігу. Як правило, дострокове погашення відбувається </w:t>
      </w:r>
      <w:proofErr w:type="gramStart"/>
      <w:r>
        <w:t>п</w:t>
      </w:r>
      <w:proofErr w:type="gramEnd"/>
      <w:r>
        <w:t>ісля зниження ринкових ставок, коли емітент може випустити нові цінні папери під нижчу відсоткову ставку.</w:t>
      </w:r>
    </w:p>
    <w:p w:rsidR="000649A0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b/>
          <w:lang w:val="uk-UA"/>
        </w:rPr>
        <w:t>Інфляційний ризик</w:t>
      </w:r>
      <w:r w:rsidRPr="000649A0">
        <w:rPr>
          <w:lang w:val="uk-UA"/>
        </w:rPr>
        <w:t xml:space="preserve"> пов’язується з імовірністю знецінення як процентого доходу, так і номіналу цінного папера внаслідок росту цін на товари та послуги. Менеджмент має порівнювати очікуваний рівень дохідності за цінним папером з прогнозованими темпами інф</w:t>
      </w:r>
      <w:r>
        <w:rPr>
          <w:lang w:val="uk-UA"/>
        </w:rPr>
        <w:t>ляції протягом періоду його обі</w:t>
      </w:r>
      <w:r w:rsidRPr="000649A0">
        <w:rPr>
          <w:lang w:val="uk-UA"/>
        </w:rPr>
        <w:t>гу.</w:t>
      </w:r>
    </w:p>
    <w:p w:rsidR="000649A0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b/>
          <w:lang w:val="uk-UA"/>
        </w:rPr>
        <w:t>Відсотковий ризик</w:t>
      </w:r>
      <w:r w:rsidRPr="000649A0">
        <w:rPr>
          <w:lang w:val="uk-UA"/>
        </w:rPr>
        <w:t xml:space="preserve"> як імовірність зміни ставок на ринку суттєво впливає на ринкову ц</w:t>
      </w:r>
      <w:r>
        <w:rPr>
          <w:lang w:val="uk-UA"/>
        </w:rPr>
        <w:t>іну цінних паперів, тому має бу</w:t>
      </w:r>
      <w:r w:rsidRPr="000649A0">
        <w:rPr>
          <w:lang w:val="uk-UA"/>
        </w:rPr>
        <w:t xml:space="preserve">ти оцінений менеджментом у процесі формування портфеля. </w:t>
      </w:r>
      <w:proofErr w:type="gramStart"/>
      <w:r>
        <w:t>П</w:t>
      </w:r>
      <w:proofErr w:type="gramEnd"/>
      <w:r>
        <w:t>ідвищення відсоткових ставок призводить до зниження ринкової ціни раніше емітованих цінних паперів. При цьому інструменти з максимальним строком погашення, як правило, зазнають найбільших цінових спадів.</w:t>
      </w:r>
    </w:p>
    <w:p w:rsidR="000649A0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 w:rsidRPr="000649A0">
        <w:rPr>
          <w:b/>
        </w:rPr>
        <w:t>Кредитний ризик цінних паперів</w:t>
      </w:r>
      <w:r>
        <w:t xml:space="preserve"> </w:t>
      </w:r>
      <w:r>
        <w:rPr>
          <w:lang w:val="uk-UA"/>
        </w:rPr>
        <w:t>-</w:t>
      </w:r>
      <w:r>
        <w:t xml:space="preserve"> це ймовірність неви</w:t>
      </w:r>
      <w:r>
        <w:t>конання емітентом своїх зобов’язань з виплати основної суми боргу або процентів. Кредитний ризик притаманний більшій частині цінних паперів, що обертаються на ринку, особливо тим, які емітовані приватними компаніями та місцевими органами влади.</w:t>
      </w:r>
      <w:proofErr w:type="gramEnd"/>
      <w:r>
        <w:t xml:space="preserve"> Безризиковими вважаються цінні папери уряду країни, хоча в окремих випадках з ними також пов’язується деякий, хоча і мінімальний, </w:t>
      </w:r>
      <w:proofErr w:type="gramStart"/>
      <w:r>
        <w:t>р</w:t>
      </w:r>
      <w:proofErr w:type="gramEnd"/>
      <w:r>
        <w:t>івень кредитного ризику</w:t>
      </w:r>
      <w:r>
        <w:rPr>
          <w:lang w:val="uk-UA"/>
        </w:rPr>
        <w:t>.</w:t>
      </w:r>
    </w:p>
    <w:p w:rsidR="000649A0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b/>
          <w:lang w:val="uk-UA"/>
        </w:rPr>
        <w:t>Діловий ризик</w:t>
      </w:r>
      <w:r w:rsidRPr="000649A0">
        <w:rPr>
          <w:lang w:val="uk-UA"/>
        </w:rPr>
        <w:t xml:space="preserve"> пов’язується з несприятливими явищами в економіці, такими як зниження обсягів виробництва, банкрутства, безробіття тощо. </w:t>
      </w:r>
      <w:r>
        <w:t xml:space="preserve">Безперечно, кризовий стан в економіці не може не позначитися на фінансовому стані емітентів, що, в свою чергу, призводить до </w:t>
      </w:r>
      <w:proofErr w:type="gramStart"/>
      <w:r>
        <w:t>п</w:t>
      </w:r>
      <w:proofErr w:type="gramEnd"/>
      <w:r>
        <w:t>ідвищення кредитного та відсоткового ризику цінних паперів, а також ризику їх ліквідності.</w:t>
      </w:r>
    </w:p>
    <w:p w:rsidR="000649A0" w:rsidRDefault="000649A0" w:rsidP="00F51C05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>
        <w:t>Р</w:t>
      </w:r>
      <w:proofErr w:type="gramEnd"/>
      <w:r>
        <w:t xml:space="preserve">івень ризикованості цінного папера залежить і від </w:t>
      </w:r>
      <w:r w:rsidRPr="000649A0">
        <w:rPr>
          <w:b/>
        </w:rPr>
        <w:t>тривалості періоду обігу</w:t>
      </w:r>
      <w:r>
        <w:t xml:space="preserve">. Короткострокові цінні папери, як правило, виявляються менш ризикованими, оскільки всі перелічені щойно ризики протягом </w:t>
      </w:r>
      <w:proofErr w:type="gramStart"/>
      <w:r>
        <w:t>короткого</w:t>
      </w:r>
      <w:proofErr w:type="gramEnd"/>
      <w:r>
        <w:t xml:space="preserve"> періоду не реалізуються повною мірою. Довгострокові цінні папери є більш ризикованими, але разом з тим приносять вищі доходи.</w:t>
      </w:r>
    </w:p>
    <w:p w:rsidR="000649A0" w:rsidRDefault="000649A0" w:rsidP="000649A0">
      <w:pPr>
        <w:tabs>
          <w:tab w:val="left" w:pos="709"/>
        </w:tabs>
        <w:spacing w:line="240" w:lineRule="auto"/>
        <w:jc w:val="center"/>
        <w:rPr>
          <w:b/>
          <w:lang w:val="uk-UA"/>
        </w:rPr>
      </w:pPr>
      <w:r w:rsidRPr="000649A0">
        <w:rPr>
          <w:b/>
        </w:rPr>
        <w:t>Методи оцінки ризику</w:t>
      </w:r>
    </w:p>
    <w:p w:rsidR="000649A0" w:rsidRDefault="000649A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Для визначення міри ризику використовуються </w:t>
      </w:r>
      <w:proofErr w:type="gramStart"/>
      <w:r>
        <w:t>р</w:t>
      </w:r>
      <w:proofErr w:type="gramEnd"/>
      <w:r>
        <w:t xml:space="preserve">ізноманітні показники, представлені в основному, статистичними величинами, такими як дисперсія, стандартне відхилення, коефіцієнти кореляції і коваріації. </w:t>
      </w:r>
    </w:p>
    <w:p w:rsidR="000649A0" w:rsidRDefault="000649A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lastRenderedPageBreak/>
        <w:t>Найчастіше в процесі аналізу ризику цінного папера викори</w:t>
      </w:r>
      <w:r>
        <w:t>стовують коефіцієнт β (бета). Для окремого цінного папера β розраховують як відношення коваріації дохідності папера та ринку в цілому до дисперсії дохідності ринку:</w:t>
      </w:r>
    </w:p>
    <w:p w:rsidR="000649A0" w:rsidRPr="000649A0" w:rsidRDefault="000649A0" w:rsidP="000649A0">
      <w:pPr>
        <w:tabs>
          <w:tab w:val="left" w:pos="709"/>
        </w:tabs>
        <w:spacing w:line="240" w:lineRule="auto"/>
        <w:ind w:firstLine="709"/>
        <w:rPr>
          <w:b/>
          <w:lang w:val="uk-UA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/>
              <w:lang w:val="uk-UA"/>
            </w:rPr>
            <m:t xml:space="preserve">β= </m:t>
          </m:r>
          <m:f>
            <m:fPr>
              <m:ctrlPr>
                <w:rPr>
                  <w:rFonts w:ascii="Cambria Math" w:hAnsi="Cambria Math"/>
                  <w:b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uk-UA"/>
                    </w:rPr>
                    <m:t>cov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uk-UA"/>
                    </w:rPr>
                    <m:t>P,R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i/>
                      <w:lang w:val="uk-UA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uk-UA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uk-UA"/>
                    </w:rPr>
                    <m:t>R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uk-UA"/>
                    </w:rPr>
                    <m:t>2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hAnsi="Cambria Math"/>
              <w:lang w:val="uk-UA"/>
            </w:rPr>
            <m:t>,                                                               (6.11</m:t>
          </m:r>
          <m:r>
            <m:rPr>
              <m:sty m:val="bi"/>
            </m:rPr>
            <w:rPr>
              <w:rFonts w:ascii="Cambria Math" w:hAnsi="Cambria Math"/>
              <w:lang w:val="uk-UA"/>
            </w:rPr>
            <m:t>)</m:t>
          </m:r>
        </m:oMath>
      </m:oMathPara>
    </w:p>
    <w:p w:rsidR="000649A0" w:rsidRDefault="000649A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lang w:val="uk-UA"/>
        </w:rPr>
        <w:t xml:space="preserve">де </w:t>
      </w:r>
      <w:r>
        <w:t>β</w:t>
      </w:r>
      <w:r w:rsidRPr="000649A0">
        <w:rPr>
          <w:lang w:val="uk-UA"/>
        </w:rPr>
        <w:t xml:space="preserve"> — бета цінних паперів;</w:t>
      </w:r>
    </w:p>
    <w:p w:rsidR="000649A0" w:rsidRDefault="000649A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lang w:val="uk-UA"/>
        </w:rPr>
        <w:t xml:space="preserve"> </w:t>
      </w:r>
      <w:r>
        <w:t>covP</w:t>
      </w:r>
      <w:r w:rsidRPr="000649A0">
        <w:rPr>
          <w:lang w:val="uk-UA"/>
        </w:rPr>
        <w:t>,</w:t>
      </w:r>
      <w:r>
        <w:t>R</w:t>
      </w:r>
      <w:r w:rsidRPr="000649A0">
        <w:rPr>
          <w:lang w:val="uk-UA"/>
        </w:rPr>
        <w:t xml:space="preserve"> — коваріація ціни цінного папера </w:t>
      </w:r>
      <w:r>
        <w:t>P</w:t>
      </w:r>
      <w:r w:rsidRPr="000649A0">
        <w:rPr>
          <w:lang w:val="uk-UA"/>
        </w:rPr>
        <w:t xml:space="preserve"> та ринку </w:t>
      </w:r>
      <w:r>
        <w:t>R</w:t>
      </w:r>
      <w:r w:rsidRPr="000649A0">
        <w:rPr>
          <w:lang w:val="uk-UA"/>
        </w:rPr>
        <w:t xml:space="preserve">; </w:t>
      </w:r>
    </w:p>
    <w:p w:rsidR="000649A0" w:rsidRDefault="000649A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σ</w:t>
      </w:r>
      <w:r w:rsidRPr="000649A0">
        <w:rPr>
          <w:lang w:val="uk-UA"/>
        </w:rPr>
        <w:t xml:space="preserve"> </w:t>
      </w:r>
      <w:r>
        <w:t>R</w:t>
      </w:r>
      <w:r w:rsidRPr="000649A0">
        <w:rPr>
          <w:lang w:val="uk-UA"/>
        </w:rPr>
        <w:t xml:space="preserve"> 2 — дисперсія ринку. </w:t>
      </w:r>
    </w:p>
    <w:p w:rsidR="000649A0" w:rsidRDefault="000649A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649A0">
        <w:rPr>
          <w:lang w:val="uk-UA"/>
        </w:rPr>
        <w:t xml:space="preserve">Коваріація змінних </w:t>
      </w:r>
      <w:r>
        <w:t>P</w:t>
      </w:r>
      <w:r w:rsidRPr="000649A0">
        <w:rPr>
          <w:lang w:val="uk-UA"/>
        </w:rPr>
        <w:t xml:space="preserve"> </w:t>
      </w:r>
      <w:r>
        <w:t>i</w:t>
      </w:r>
      <w:r w:rsidRPr="000649A0">
        <w:rPr>
          <w:lang w:val="uk-UA"/>
        </w:rPr>
        <w:t xml:space="preserve"> </w:t>
      </w:r>
      <w:r>
        <w:t>R</w:t>
      </w:r>
      <w:r w:rsidRPr="000649A0">
        <w:rPr>
          <w:lang w:val="uk-UA"/>
        </w:rPr>
        <w:t xml:space="preserve"> представлена залежністю:</w:t>
      </w:r>
    </w:p>
    <w:p w:rsidR="000649A0" w:rsidRPr="00054D20" w:rsidRDefault="000649A0" w:rsidP="000649A0">
      <w:pPr>
        <w:tabs>
          <w:tab w:val="left" w:pos="709"/>
        </w:tabs>
        <w:spacing w:line="240" w:lineRule="auto"/>
        <w:ind w:firstLine="709"/>
        <w:rPr>
          <w:rFonts w:eastAsiaTheme="minorEastAsia"/>
          <w:i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сov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P,R</m:t>
              </m:r>
            </m:e>
          </m:d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1</m:t>
              </m:r>
            </m:num>
            <m:den>
              <m:r>
                <w:rPr>
                  <w:rFonts w:ascii="Cambria Math" w:hAnsi="Cambria Math"/>
                  <w:lang w:val="uk-UA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/>
                  <w:lang w:val="uk-UA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uk-UA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P</m:t>
                      </m:r>
                    </m:e>
                  </m:acc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uk-UA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R</m:t>
                      </m:r>
                    </m:e>
                  </m:acc>
                </m:e>
              </m:d>
            </m:e>
          </m:nary>
          <m:r>
            <w:rPr>
              <w:rFonts w:ascii="Cambria Math" w:hAnsi="Cambria Math"/>
              <w:lang w:val="uk-UA"/>
            </w:rPr>
            <m:t>,                                      (6.12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>де P , R — відповідно середні значення ряду.</w:t>
      </w:r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>Стандартне відхилення показу</w:t>
      </w:r>
      <w:proofErr w:type="gramStart"/>
      <w:r>
        <w:t>є,</w:t>
      </w:r>
      <w:proofErr w:type="gramEnd"/>
      <w:r>
        <w:t xml:space="preserve"> наскільки широкий розрив між значеннями конкретного спостереження т</w:t>
      </w:r>
      <w:r>
        <w:t>а середнім значенням ряду, і об</w:t>
      </w:r>
      <w:r>
        <w:t>числюється за формулою:</w:t>
      </w:r>
    </w:p>
    <w:p w:rsidR="00054D20" w:rsidRPr="00054D20" w:rsidRDefault="00054D20" w:rsidP="000649A0">
      <w:pPr>
        <w:tabs>
          <w:tab w:val="left" w:pos="709"/>
        </w:tabs>
        <w:spacing w:line="240" w:lineRule="auto"/>
        <w:ind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den>
              </m:f>
            </m:e>
          </m:rad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  <w:lang w:val="uk-UA"/>
            </w:rPr>
            <m:t>,                                                   (6.13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де Р</w:t>
      </w:r>
      <w:proofErr w:type="gramStart"/>
      <w:r>
        <w:t>i</w:t>
      </w:r>
      <w:proofErr w:type="gramEnd"/>
      <w:r>
        <w:t xml:space="preserve"> — значення доходу за ці</w:t>
      </w:r>
      <w:r>
        <w:t>нним папером в i-му спостережен</w:t>
      </w:r>
      <w:r>
        <w:t xml:space="preserve">ні; </w:t>
      </w:r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P — середнє значення ряду; </w:t>
      </w:r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n — кількість спостережень. </w:t>
      </w:r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54D20">
        <w:rPr>
          <w:lang w:val="uk-UA"/>
        </w:rPr>
        <w:t>Стандартне відхилення дохідності ринку обчислюється аналогіч</w:t>
      </w:r>
      <w:r>
        <w:rPr>
          <w:lang w:val="uk-UA"/>
        </w:rPr>
        <w:t xml:space="preserve">но.Квадрат стандартного відхилення називається </w:t>
      </w:r>
      <w:r w:rsidRPr="00054D20">
        <w:rPr>
          <w:b/>
          <w:lang w:val="uk-UA"/>
        </w:rPr>
        <w:t>дисперсією</w:t>
      </w:r>
      <w:r>
        <w:rPr>
          <w:lang w:val="uk-UA"/>
        </w:rPr>
        <w:t>.</w:t>
      </w:r>
    </w:p>
    <w:p w:rsidR="00054D20" w:rsidRDefault="00054D20" w:rsidP="000649A0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54D20">
        <w:rPr>
          <w:lang w:val="uk-UA"/>
        </w:rPr>
        <w:t>Коефіцієнт бета для портфел</w:t>
      </w:r>
      <w:r>
        <w:rPr>
          <w:lang w:val="uk-UA"/>
        </w:rPr>
        <w:t>я в цілому розраховується як се</w:t>
      </w:r>
      <w:r w:rsidRPr="00054D20">
        <w:rPr>
          <w:lang w:val="uk-UA"/>
        </w:rPr>
        <w:t xml:space="preserve">редньозважене значення </w:t>
      </w:r>
      <w:r>
        <w:sym w:font="Symbol" w:char="F062"/>
      </w:r>
      <w:r w:rsidRPr="00054D20">
        <w:rPr>
          <w:lang w:val="uk-UA"/>
        </w:rPr>
        <w:t>-коефіцієнтів тих груп цінних паперів, які входять до його складу, з урах</w:t>
      </w:r>
      <w:r>
        <w:rPr>
          <w:lang w:val="uk-UA"/>
        </w:rPr>
        <w:t>уванням їх питомої ваги в струк</w:t>
      </w:r>
      <w:r w:rsidRPr="00054D20">
        <w:rPr>
          <w:lang w:val="uk-UA"/>
        </w:rPr>
        <w:t xml:space="preserve">турі портфеля. </w:t>
      </w:r>
      <w:r>
        <w:t>Тож якщо до бан</w:t>
      </w:r>
      <w:r>
        <w:t xml:space="preserve">ківського портфеля включено </w:t>
      </w:r>
      <w:proofErr w:type="gramStart"/>
      <w:r>
        <w:t>р</w:t>
      </w:r>
      <w:proofErr w:type="gramEnd"/>
      <w:r>
        <w:t>із</w:t>
      </w:r>
      <w:r>
        <w:t xml:space="preserve">ні групи цінних паперів, то для кожної з них окремо визначають коефіцієнт </w:t>
      </w:r>
      <w:r>
        <w:sym w:font="Symbol" w:char="F062"/>
      </w:r>
      <w:r>
        <w:t>і (див. формулу 6.11),</w:t>
      </w:r>
      <w:r>
        <w:t xml:space="preserve"> після чого знаходять бета порт</w:t>
      </w:r>
      <w:r>
        <w:t>феля (</w:t>
      </w:r>
      <w:r>
        <w:sym w:font="Symbol" w:char="F062"/>
      </w:r>
      <w:r>
        <w:t>р):</w:t>
      </w:r>
    </w:p>
    <w:p w:rsidR="00054D20" w:rsidRPr="00054D20" w:rsidRDefault="00054D20" w:rsidP="000649A0">
      <w:pPr>
        <w:tabs>
          <w:tab w:val="left" w:pos="709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β</m:t>
              </m:r>
            </m:e>
            <m:sub>
              <m:r>
                <w:rPr>
                  <w:rFonts w:ascii="Cambria Math" w:hAnsi="Cambria Math"/>
                  <w:lang w:val="uk-UA"/>
                </w:rPr>
                <m:t>p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β</m:t>
              </m:r>
            </m:e>
            <m:sub>
              <m:r>
                <w:rPr>
                  <w:rFonts w:ascii="Cambria Math" w:hAnsi="Cambria Math"/>
                  <w:lang w:val="uk-UA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>,                                                    (6.1</m:t>
          </m:r>
          <m:r>
            <w:rPr>
              <w:rFonts w:ascii="Cambria Math" w:hAnsi="Cambria Math"/>
              <w:lang w:val="uk-UA"/>
            </w:rPr>
            <m:t>4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D267DE" w:rsidRDefault="00054D20" w:rsidP="000649A0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t>де</w:t>
      </w:r>
      <w:r w:rsidRPr="00054D20">
        <w:rPr>
          <w:lang w:val="en-US"/>
        </w:rPr>
        <w:t xml:space="preserve"> </w:t>
      </w:r>
      <w:r>
        <w:sym w:font="Symbol" w:char="F062"/>
      </w:r>
      <w:r>
        <w:t>і</w:t>
      </w:r>
      <w:r w:rsidRPr="00054D20">
        <w:rPr>
          <w:lang w:val="en-US"/>
        </w:rPr>
        <w:t xml:space="preserve"> — </w:t>
      </w:r>
      <w:r>
        <w:t>коефіцієнт</w:t>
      </w:r>
      <w:r w:rsidRPr="00054D20">
        <w:rPr>
          <w:lang w:val="en-US"/>
        </w:rPr>
        <w:t xml:space="preserve"> </w:t>
      </w:r>
      <w:r>
        <w:t>бета</w:t>
      </w:r>
      <w:r w:rsidRPr="00054D20">
        <w:rPr>
          <w:lang w:val="en-US"/>
        </w:rPr>
        <w:t xml:space="preserve"> </w:t>
      </w:r>
      <w:r>
        <w:t>і</w:t>
      </w:r>
      <w:r w:rsidRPr="00054D20">
        <w:rPr>
          <w:lang w:val="en-US"/>
        </w:rPr>
        <w:t>-</w:t>
      </w:r>
      <w:r>
        <w:t>ї</w:t>
      </w:r>
      <w:r w:rsidRPr="00054D20">
        <w:rPr>
          <w:lang w:val="en-US"/>
        </w:rPr>
        <w:t xml:space="preserve"> </w:t>
      </w:r>
      <w:r>
        <w:t>групи</w:t>
      </w:r>
      <w:r w:rsidRPr="00054D20">
        <w:rPr>
          <w:lang w:val="en-US"/>
        </w:rPr>
        <w:t xml:space="preserve"> </w:t>
      </w:r>
      <w:r>
        <w:t>цінних</w:t>
      </w:r>
      <w:r w:rsidRPr="00054D20">
        <w:rPr>
          <w:lang w:val="en-US"/>
        </w:rPr>
        <w:t xml:space="preserve"> </w:t>
      </w:r>
      <w:r>
        <w:t>папері</w:t>
      </w:r>
      <w:proofErr w:type="gramStart"/>
      <w:r>
        <w:t>в</w:t>
      </w:r>
      <w:proofErr w:type="gramEnd"/>
      <w:r w:rsidRPr="00054D20">
        <w:rPr>
          <w:lang w:val="en-US"/>
        </w:rPr>
        <w:t xml:space="preserve">; </w:t>
      </w:r>
    </w:p>
    <w:p w:rsidR="00D267DE" w:rsidRDefault="00054D20" w:rsidP="000649A0">
      <w:pPr>
        <w:tabs>
          <w:tab w:val="left" w:pos="709"/>
        </w:tabs>
        <w:spacing w:line="240" w:lineRule="auto"/>
        <w:ind w:firstLine="709"/>
        <w:rPr>
          <w:lang w:val="en-US"/>
        </w:rPr>
      </w:pPr>
      <w:r>
        <w:sym w:font="Symbol" w:char="F067"/>
      </w:r>
      <w:r>
        <w:t>і</w:t>
      </w:r>
      <w:r w:rsidRPr="00D267DE">
        <w:t xml:space="preserve"> — </w:t>
      </w:r>
      <w:r>
        <w:t>питома</w:t>
      </w:r>
      <w:r w:rsidRPr="00D267DE">
        <w:t xml:space="preserve"> </w:t>
      </w:r>
      <w:r>
        <w:t>вага</w:t>
      </w:r>
      <w:r w:rsidRPr="00D267DE">
        <w:t xml:space="preserve"> </w:t>
      </w:r>
      <w:r>
        <w:t>і</w:t>
      </w:r>
      <w:r w:rsidRPr="00D267DE">
        <w:t>-</w:t>
      </w:r>
      <w:r>
        <w:t>ї</w:t>
      </w:r>
      <w:r w:rsidRPr="00D267DE">
        <w:t xml:space="preserve"> </w:t>
      </w:r>
      <w:r>
        <w:t>групи</w:t>
      </w:r>
      <w:r w:rsidRPr="00D267DE">
        <w:t xml:space="preserve"> </w:t>
      </w:r>
      <w:r>
        <w:t>цінних</w:t>
      </w:r>
      <w:r w:rsidRPr="00D267DE">
        <w:t xml:space="preserve"> </w:t>
      </w:r>
      <w:r>
        <w:t>папері</w:t>
      </w:r>
      <w:proofErr w:type="gramStart"/>
      <w:r>
        <w:t>в</w:t>
      </w:r>
      <w:proofErr w:type="gramEnd"/>
      <w:r w:rsidRPr="00D267DE">
        <w:t xml:space="preserve"> </w:t>
      </w:r>
      <w:r>
        <w:t>у</w:t>
      </w:r>
      <w:r w:rsidRPr="00D267DE">
        <w:t xml:space="preserve"> </w:t>
      </w:r>
      <w:r>
        <w:t>портфелі</w:t>
      </w:r>
      <w:r w:rsidRPr="00D267DE">
        <w:t xml:space="preserve">; </w:t>
      </w:r>
    </w:p>
    <w:p w:rsidR="00D267DE" w:rsidRDefault="00054D20" w:rsidP="000649A0">
      <w:pPr>
        <w:tabs>
          <w:tab w:val="left" w:pos="709"/>
        </w:tabs>
        <w:spacing w:line="240" w:lineRule="auto"/>
        <w:ind w:firstLine="709"/>
        <w:rPr>
          <w:lang w:val="en-US"/>
        </w:rPr>
      </w:pPr>
      <w:proofErr w:type="gramStart"/>
      <w:r w:rsidRPr="00054D20">
        <w:rPr>
          <w:lang w:val="en-US"/>
        </w:rPr>
        <w:t>n</w:t>
      </w:r>
      <w:proofErr w:type="gramEnd"/>
      <w:r w:rsidRPr="00D267DE">
        <w:t xml:space="preserve"> — </w:t>
      </w:r>
      <w:r>
        <w:t>кількість</w:t>
      </w:r>
      <w:r w:rsidRPr="00D267DE">
        <w:t xml:space="preserve"> </w:t>
      </w:r>
      <w:r>
        <w:t>груп</w:t>
      </w:r>
      <w:r w:rsidRPr="00D267DE">
        <w:t xml:space="preserve"> </w:t>
      </w:r>
      <w:r>
        <w:t>цін</w:t>
      </w:r>
      <w:r w:rsidRPr="00D267DE">
        <w:t/>
      </w:r>
      <w:r>
        <w:t>них</w:t>
      </w:r>
      <w:r w:rsidRPr="00D267DE">
        <w:t xml:space="preserve"> </w:t>
      </w:r>
      <w:r>
        <w:t>паперів</w:t>
      </w:r>
      <w:r w:rsidRPr="00D267DE">
        <w:t xml:space="preserve"> </w:t>
      </w:r>
      <w:r>
        <w:t>у</w:t>
      </w:r>
      <w:r w:rsidRPr="00D267DE">
        <w:t xml:space="preserve"> </w:t>
      </w:r>
      <w:r>
        <w:t>портфелі</w:t>
      </w:r>
      <w:r w:rsidRPr="00D267DE">
        <w:t xml:space="preserve"> </w:t>
      </w:r>
      <w:r>
        <w:t>банку</w:t>
      </w:r>
      <w:r w:rsidRPr="00D267DE">
        <w:t xml:space="preserve">. </w:t>
      </w:r>
    </w:p>
    <w:p w:rsidR="00054D20" w:rsidRPr="00054D20" w:rsidRDefault="00054D20" w:rsidP="000649A0">
      <w:pPr>
        <w:tabs>
          <w:tab w:val="left" w:pos="709"/>
        </w:tabs>
        <w:spacing w:line="240" w:lineRule="auto"/>
        <w:ind w:firstLine="709"/>
      </w:pPr>
      <w:r>
        <w:t>Відповідно</w:t>
      </w:r>
      <w:r w:rsidRPr="00054D20">
        <w:rPr>
          <w:lang w:val="en-US"/>
        </w:rPr>
        <w:t xml:space="preserve"> </w:t>
      </w:r>
      <w:r>
        <w:t>до</w:t>
      </w:r>
      <w:r w:rsidRPr="00054D20">
        <w:rPr>
          <w:lang w:val="en-US"/>
        </w:rPr>
        <w:t xml:space="preserve"> </w:t>
      </w:r>
      <w:r>
        <w:t>значення</w:t>
      </w:r>
      <w:r w:rsidRPr="00054D20">
        <w:rPr>
          <w:lang w:val="en-US"/>
        </w:rPr>
        <w:t xml:space="preserve"> </w:t>
      </w:r>
      <w:r>
        <w:sym w:font="Symbol" w:char="F062"/>
      </w:r>
      <w:proofErr w:type="gramStart"/>
      <w:r>
        <w:t>р</w:t>
      </w:r>
      <w:proofErr w:type="gramEnd"/>
      <w:r w:rsidRPr="00054D20">
        <w:rPr>
          <w:lang w:val="en-US"/>
        </w:rPr>
        <w:t/>
      </w:r>
      <w:r>
        <w:t>коефіцієнта</w:t>
      </w:r>
      <w:r w:rsidRPr="00054D20">
        <w:rPr>
          <w:lang w:val="en-US"/>
        </w:rPr>
        <w:t xml:space="preserve"> </w:t>
      </w:r>
      <w:r>
        <w:t>банківські</w:t>
      </w:r>
      <w:r w:rsidRPr="00054D20">
        <w:rPr>
          <w:lang w:val="en-US"/>
        </w:rPr>
        <w:t xml:space="preserve"> </w:t>
      </w:r>
      <w:r>
        <w:t>портфелі</w:t>
      </w:r>
      <w:r w:rsidRPr="00054D20">
        <w:rPr>
          <w:lang w:val="en-US"/>
        </w:rPr>
        <w:t xml:space="preserve"> </w:t>
      </w:r>
      <w:r>
        <w:t>цінних</w:t>
      </w:r>
      <w:r w:rsidRPr="00054D20">
        <w:rPr>
          <w:lang w:val="en-US"/>
        </w:rPr>
        <w:t xml:space="preserve"> </w:t>
      </w:r>
      <w:r>
        <w:t>паперів</w:t>
      </w:r>
      <w:r w:rsidRPr="00054D20">
        <w:rPr>
          <w:lang w:val="en-US"/>
        </w:rPr>
        <w:t xml:space="preserve"> </w:t>
      </w:r>
      <w:r>
        <w:t>поділяють</w:t>
      </w:r>
      <w:r w:rsidRPr="00054D20">
        <w:rPr>
          <w:lang w:val="en-US"/>
        </w:rPr>
        <w:t xml:space="preserve"> </w:t>
      </w:r>
      <w:r>
        <w:t>на</w:t>
      </w:r>
      <w:r w:rsidRPr="00054D20">
        <w:rPr>
          <w:lang w:val="en-US"/>
        </w:rPr>
        <w:t xml:space="preserve"> </w:t>
      </w:r>
      <w:r>
        <w:t>агресивні</w:t>
      </w:r>
      <w:r w:rsidRPr="00054D20">
        <w:rPr>
          <w:lang w:val="en-US"/>
        </w:rPr>
        <w:t xml:space="preserve"> (</w:t>
      </w:r>
      <w:r>
        <w:sym w:font="Symbol" w:char="F062"/>
      </w:r>
      <w:r>
        <w:t>р</w:t>
      </w:r>
      <w:r w:rsidRPr="00054D20">
        <w:rPr>
          <w:lang w:val="en-US"/>
        </w:rPr>
        <w:t xml:space="preserve"> &gt; 1) </w:t>
      </w:r>
      <w:r>
        <w:t>та</w:t>
      </w:r>
      <w:r w:rsidRPr="00054D20">
        <w:rPr>
          <w:lang w:val="en-US"/>
        </w:rPr>
        <w:t xml:space="preserve"> </w:t>
      </w:r>
      <w:r>
        <w:t>захисні</w:t>
      </w:r>
      <w:r w:rsidRPr="00054D20">
        <w:rPr>
          <w:lang w:val="en-US"/>
        </w:rPr>
        <w:t xml:space="preserve"> (</w:t>
      </w:r>
      <w:r>
        <w:sym w:font="Symbol" w:char="F062"/>
      </w:r>
      <w:r>
        <w:t>р</w:t>
      </w:r>
      <w:r w:rsidRPr="00054D20">
        <w:rPr>
          <w:lang w:val="en-US"/>
        </w:rPr>
        <w:t xml:space="preserve"> &lt; 1). </w:t>
      </w:r>
      <w:r>
        <w:t xml:space="preserve">Якщо </w:t>
      </w:r>
      <w:r>
        <w:sym w:font="Symbol" w:char="F062"/>
      </w:r>
      <w:proofErr w:type="gramStart"/>
      <w:r>
        <w:t>р</w:t>
      </w:r>
      <w:proofErr w:type="gramEnd"/>
      <w:r>
        <w:t xml:space="preserve"> = 1, то ризик порт</w:t>
      </w:r>
      <w:r>
        <w:t>феля збігається з ризиком сис</w:t>
      </w:r>
      <w:r w:rsidR="00D267DE">
        <w:t xml:space="preserve">теми, а портфель називається </w:t>
      </w:r>
      <w:r w:rsidR="00D267DE" w:rsidRPr="00D267DE">
        <w:rPr>
          <w:i/>
        </w:rPr>
        <w:t>ін</w:t>
      </w:r>
      <w:r w:rsidRPr="00D267DE">
        <w:rPr>
          <w:i/>
        </w:rPr>
        <w:t>дексним</w:t>
      </w:r>
      <w:r>
        <w:t>.</w:t>
      </w:r>
    </w:p>
    <w:p w:rsidR="00054D20" w:rsidRDefault="00D267DE" w:rsidP="00D267D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Стандартн</w:t>
      </w:r>
      <w:r>
        <w:t>е відхилення портфеля цінних па</w:t>
      </w:r>
      <w:r>
        <w:t>перів знаходять за формулою:</w:t>
      </w:r>
    </w:p>
    <w:p w:rsidR="00D267DE" w:rsidRDefault="00D267DE" w:rsidP="00D267DE">
      <w:pPr>
        <w:tabs>
          <w:tab w:val="left" w:pos="1035"/>
        </w:tabs>
        <w:spacing w:line="240" w:lineRule="auto"/>
        <w:ind w:firstLine="709"/>
        <w:jc w:val="right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 xml:space="preserve">= 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2</m:t>
            </m:r>
          </m:deg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b>
                    </m:sSub>
                  </m:e>
                </m:nary>
              </m:e>
            </m:nary>
          </m:e>
        </m:rad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ij</m:t>
            </m:r>
          </m:sub>
        </m:sSub>
        <m:r>
          <w:rPr>
            <w:rFonts w:ascii="Cambria Math" w:hAnsi="Cambria Math"/>
            <w:lang w:val="en-US"/>
          </w:rPr>
          <m:t xml:space="preserve">                                       </m:t>
        </m:r>
      </m:oMath>
      <w:r>
        <w:rPr>
          <w:rFonts w:eastAsiaTheme="minorEastAsia"/>
          <w:lang w:val="en-US"/>
        </w:rPr>
        <w:t>(6.15)</w:t>
      </w:r>
    </w:p>
    <w:p w:rsidR="002E24A5" w:rsidRPr="002E24A5" w:rsidRDefault="002E24A5" w:rsidP="001A3F0E">
      <w:pPr>
        <w:tabs>
          <w:tab w:val="left" w:pos="1035"/>
        </w:tabs>
        <w:spacing w:line="240" w:lineRule="auto"/>
        <w:ind w:firstLine="709"/>
        <w:jc w:val="right"/>
        <w:rPr>
          <w:lang w:val="uk-UA"/>
        </w:rPr>
      </w:pPr>
      <w:r>
        <w:rPr>
          <w:lang w:val="uk-UA"/>
        </w:rPr>
        <w:lastRenderedPageBreak/>
        <w:t xml:space="preserve">або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uk-UA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lang w:val="uk-UA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/>
                    <w:lang w:val="uk-UA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lang w:val="uk-UA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uk-UA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p>
                </m:sSubSup>
              </m:e>
            </m:nary>
          </m:e>
        </m:rad>
        <m:r>
          <w:rPr>
            <w:rFonts w:ascii="Cambria Math" w:hAnsi="Cambria Math"/>
            <w:lang w:val="uk-UA"/>
          </w:rPr>
          <m:t>×</m:t>
        </m:r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 w:hAnsi="Cambria Math"/>
                <w:lang w:val="uk-UA"/>
              </w:rPr>
              <m:t>σ</m:t>
            </m:r>
          </m:e>
          <m:sub>
            <m:r>
              <w:rPr>
                <w:rFonts w:ascii="Cambria Math" w:hAnsi="Cambria Math"/>
                <w:lang w:val="uk-UA"/>
              </w:rPr>
              <m:t>i</m:t>
            </m:r>
          </m:sub>
          <m:sup>
            <m:r>
              <w:rPr>
                <w:rFonts w:ascii="Cambria Math" w:hAnsi="Cambria Math"/>
                <w:lang w:val="uk-UA"/>
              </w:rPr>
              <m:t>2</m:t>
            </m:r>
          </m:sup>
        </m:sSubSup>
        <m:r>
          <w:rPr>
            <w:rFonts w:ascii="Cambria Math" w:hAnsi="Cambria Math"/>
            <w:lang w:val="uk-UA"/>
          </w:rPr>
          <m:t>+2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uk-UA"/>
              </w:rPr>
            </m:ctrlPr>
          </m:naryPr>
          <m:sub>
            <m:r>
              <w:rPr>
                <w:rFonts w:ascii="Cambria Math" w:hAnsi="Cambria Math"/>
                <w:lang w:val="uk-UA"/>
              </w:rPr>
              <m:t>i=1</m:t>
            </m:r>
          </m:sub>
          <m:sup>
            <m:r>
              <w:rPr>
                <w:rFonts w:ascii="Cambria Math" w:hAnsi="Cambria Math"/>
                <w:lang w:val="uk-UA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/>
                    <w:lang w:val="uk-UA"/>
                  </w:rPr>
                  <m:t>j=1(i≠</m:t>
                </m:r>
                <m:r>
                  <w:rPr>
                    <w:rFonts w:ascii="Cambria Math" w:hAnsi="Cambria Math"/>
                    <w:lang w:val="uk-UA"/>
                  </w:rPr>
                  <m:t>j</m:t>
                </m:r>
                <m:r>
                  <w:rPr>
                    <w:rFonts w:ascii="Cambria Math" w:hAnsi="Cambria Math"/>
                    <w:lang w:val="uk-UA"/>
                  </w:rPr>
                  <m:t>)</m:t>
                </m:r>
              </m:sub>
              <m:sup>
                <m:r>
                  <w:rPr>
                    <w:rFonts w:ascii="Cambria Math" w:hAnsi="Cambria Math"/>
                    <w:lang w:val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ij</m:t>
                    </m:r>
                  </m:sub>
                </m:sSub>
              </m:e>
            </m:nary>
          </m:e>
        </m:nary>
        <m:r>
          <w:rPr>
            <w:rFonts w:ascii="Cambria Math" w:hAnsi="Cambria Math"/>
            <w:lang w:val="uk-UA"/>
          </w:rPr>
          <m:t xml:space="preserve">                 (6.16)</m:t>
        </m:r>
      </m:oMath>
    </w:p>
    <w:p w:rsidR="002E24A5" w:rsidRPr="002E24A5" w:rsidRDefault="002E24A5" w:rsidP="002E24A5">
      <w:pPr>
        <w:tabs>
          <w:tab w:val="left" w:pos="1035"/>
        </w:tabs>
        <w:spacing w:line="240" w:lineRule="auto"/>
        <w:ind w:firstLine="709"/>
      </w:pPr>
      <w:r>
        <w:t>де</w:t>
      </w:r>
      <w:r w:rsidRPr="002E24A5">
        <w:t xml:space="preserve"> </w:t>
      </w:r>
      <w:r>
        <w:sym w:font="Symbol" w:char="F073"/>
      </w:r>
      <w:r w:rsidRPr="002E24A5">
        <w:rPr>
          <w:lang w:val="en-US"/>
        </w:rPr>
        <w:t>p</w:t>
      </w:r>
      <w:r w:rsidRPr="002E24A5">
        <w:t xml:space="preserve"> — </w:t>
      </w:r>
      <w:r>
        <w:t>стандартне</w:t>
      </w:r>
      <w:r w:rsidRPr="002E24A5">
        <w:t xml:space="preserve"> </w:t>
      </w:r>
      <w:r>
        <w:t>відхилення</w:t>
      </w:r>
      <w:r w:rsidRPr="002E24A5">
        <w:t xml:space="preserve"> </w:t>
      </w:r>
      <w:r>
        <w:t>портфеля</w:t>
      </w:r>
      <w:r w:rsidRPr="002E24A5">
        <w:t xml:space="preserve">; </w:t>
      </w:r>
    </w:p>
    <w:p w:rsidR="002E24A5" w:rsidRDefault="002E24A5" w:rsidP="002E24A5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sym w:font="Symbol" w:char="F073"/>
      </w:r>
      <w:proofErr w:type="gramStart"/>
      <w:r w:rsidRPr="002E24A5">
        <w:rPr>
          <w:lang w:val="en-US"/>
        </w:rPr>
        <w:t>i</w:t>
      </w:r>
      <w:proofErr w:type="gramEnd"/>
      <w:r w:rsidRPr="002E24A5">
        <w:rPr>
          <w:lang w:val="en-US"/>
        </w:rPr>
        <w:t>,</w:t>
      </w:r>
      <w:r>
        <w:sym w:font="Symbol" w:char="F073"/>
      </w:r>
      <w:r w:rsidRPr="002E24A5">
        <w:rPr>
          <w:lang w:val="en-US"/>
        </w:rPr>
        <w:t xml:space="preserve">j — </w:t>
      </w:r>
      <w:r>
        <w:t>стандартні</w:t>
      </w:r>
      <w:r w:rsidRPr="002E24A5">
        <w:rPr>
          <w:lang w:val="en-US"/>
        </w:rPr>
        <w:t xml:space="preserve"> </w:t>
      </w:r>
      <w:r>
        <w:t>відхилення</w:t>
      </w:r>
      <w:r w:rsidRPr="002E24A5">
        <w:rPr>
          <w:lang w:val="en-US"/>
        </w:rPr>
        <w:t xml:space="preserve"> i-</w:t>
      </w:r>
      <w:r>
        <w:t>ї</w:t>
      </w:r>
      <w:r w:rsidRPr="002E24A5">
        <w:rPr>
          <w:lang w:val="en-US"/>
        </w:rPr>
        <w:t xml:space="preserve"> </w:t>
      </w:r>
      <w:r>
        <w:t>та</w:t>
      </w:r>
      <w:r w:rsidRPr="002E24A5">
        <w:rPr>
          <w:lang w:val="en-US"/>
        </w:rPr>
        <w:t xml:space="preserve"> j-</w:t>
      </w:r>
      <w:r>
        <w:t>ї</w:t>
      </w:r>
      <w:r w:rsidRPr="002E24A5">
        <w:rPr>
          <w:lang w:val="en-US"/>
        </w:rPr>
        <w:t xml:space="preserve"> </w:t>
      </w:r>
      <w:r>
        <w:t>груп</w:t>
      </w:r>
      <w:r w:rsidRPr="002E24A5">
        <w:rPr>
          <w:lang w:val="en-US"/>
        </w:rPr>
        <w:t xml:space="preserve"> </w:t>
      </w:r>
      <w:r>
        <w:t>цінних</w:t>
      </w:r>
      <w:r w:rsidRPr="002E24A5">
        <w:rPr>
          <w:lang w:val="en-US"/>
        </w:rPr>
        <w:t xml:space="preserve"> </w:t>
      </w:r>
      <w:r>
        <w:t>паперів</w:t>
      </w:r>
      <w:r w:rsidRPr="002E24A5">
        <w:rPr>
          <w:lang w:val="en-US"/>
        </w:rPr>
        <w:t xml:space="preserve"> </w:t>
      </w:r>
      <w:r>
        <w:t>у</w:t>
      </w:r>
      <w:r w:rsidRPr="002E24A5">
        <w:rPr>
          <w:lang w:val="en-US"/>
        </w:rPr>
        <w:t xml:space="preserve"> </w:t>
      </w:r>
      <w:r>
        <w:t>портфелі</w:t>
      </w:r>
      <w:r w:rsidRPr="002E24A5">
        <w:rPr>
          <w:lang w:val="en-US"/>
        </w:rPr>
        <w:t xml:space="preserve"> </w:t>
      </w:r>
      <w:r>
        <w:t>банку</w:t>
      </w:r>
      <w:r w:rsidRPr="002E24A5">
        <w:rPr>
          <w:lang w:val="en-US"/>
        </w:rPr>
        <w:t xml:space="preserve">; </w:t>
      </w:r>
    </w:p>
    <w:p w:rsidR="002E24A5" w:rsidRDefault="002E24A5" w:rsidP="002E24A5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sym w:font="Symbol" w:char="F067"/>
      </w:r>
      <w:proofErr w:type="gramStart"/>
      <w:r w:rsidRPr="002E24A5">
        <w:rPr>
          <w:lang w:val="en-US"/>
        </w:rPr>
        <w:t>i</w:t>
      </w:r>
      <w:proofErr w:type="gramEnd"/>
      <w:r w:rsidRPr="002E24A5">
        <w:rPr>
          <w:lang w:val="en-US"/>
        </w:rPr>
        <w:t>,</w:t>
      </w:r>
      <w:r>
        <w:sym w:font="Symbol" w:char="F067"/>
      </w:r>
      <w:r w:rsidRPr="002E24A5">
        <w:rPr>
          <w:lang w:val="en-US"/>
        </w:rPr>
        <w:t xml:space="preserve">j — </w:t>
      </w:r>
      <w:r>
        <w:t>питома</w:t>
      </w:r>
      <w:r w:rsidRPr="002E24A5">
        <w:rPr>
          <w:lang w:val="en-US"/>
        </w:rPr>
        <w:t xml:space="preserve"> </w:t>
      </w:r>
      <w:r>
        <w:t>вага</w:t>
      </w:r>
      <w:r w:rsidRPr="002E24A5">
        <w:rPr>
          <w:lang w:val="en-US"/>
        </w:rPr>
        <w:t xml:space="preserve"> i-</w:t>
      </w:r>
      <w:r>
        <w:t>ї</w:t>
      </w:r>
      <w:r w:rsidRPr="002E24A5">
        <w:rPr>
          <w:lang w:val="en-US"/>
        </w:rPr>
        <w:t xml:space="preserve"> </w:t>
      </w:r>
      <w:r>
        <w:t>та</w:t>
      </w:r>
      <w:r w:rsidRPr="002E24A5">
        <w:rPr>
          <w:lang w:val="en-US"/>
        </w:rPr>
        <w:t xml:space="preserve"> j-</w:t>
      </w:r>
      <w:r>
        <w:t>ї</w:t>
      </w:r>
      <w:r w:rsidRPr="002E24A5">
        <w:rPr>
          <w:lang w:val="en-US"/>
        </w:rPr>
        <w:t xml:space="preserve"> </w:t>
      </w:r>
      <w:r>
        <w:t>груп</w:t>
      </w:r>
      <w:r w:rsidRPr="002E24A5">
        <w:rPr>
          <w:lang w:val="en-US"/>
        </w:rPr>
        <w:t xml:space="preserve"> </w:t>
      </w:r>
      <w:r>
        <w:t>цінних</w:t>
      </w:r>
      <w:r w:rsidRPr="002E24A5">
        <w:rPr>
          <w:lang w:val="en-US"/>
        </w:rPr>
        <w:t xml:space="preserve"> </w:t>
      </w:r>
      <w:r>
        <w:t>паперів</w:t>
      </w:r>
      <w:r w:rsidRPr="002E24A5">
        <w:rPr>
          <w:lang w:val="en-US"/>
        </w:rPr>
        <w:t xml:space="preserve"> </w:t>
      </w:r>
      <w:r>
        <w:t>у</w:t>
      </w:r>
      <w:r w:rsidRPr="002E24A5">
        <w:rPr>
          <w:lang w:val="en-US"/>
        </w:rPr>
        <w:t xml:space="preserve"> </w:t>
      </w:r>
      <w:r>
        <w:t>портфелі</w:t>
      </w:r>
      <w:r w:rsidRPr="002E24A5">
        <w:rPr>
          <w:lang w:val="en-US"/>
        </w:rPr>
        <w:t xml:space="preserve"> </w:t>
      </w:r>
      <w:r>
        <w:t>банку</w:t>
      </w:r>
      <w:r w:rsidRPr="002E24A5">
        <w:rPr>
          <w:lang w:val="en-US"/>
        </w:rPr>
        <w:t xml:space="preserve">; </w:t>
      </w:r>
    </w:p>
    <w:p w:rsidR="00D267DE" w:rsidRDefault="002E24A5" w:rsidP="002E24A5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sym w:font="Symbol" w:char="F072"/>
      </w:r>
      <w:proofErr w:type="gramStart"/>
      <w:r w:rsidRPr="002E24A5">
        <w:rPr>
          <w:lang w:val="en-US"/>
        </w:rPr>
        <w:t>ij</w:t>
      </w:r>
      <w:proofErr w:type="gramEnd"/>
      <w:r w:rsidRPr="002E24A5">
        <w:rPr>
          <w:lang w:val="en-US"/>
        </w:rPr>
        <w:t xml:space="preserve"> — </w:t>
      </w:r>
      <w:r>
        <w:t>кореляція</w:t>
      </w:r>
      <w:r w:rsidRPr="002E24A5">
        <w:rPr>
          <w:lang w:val="en-US"/>
        </w:rPr>
        <w:t xml:space="preserve"> </w:t>
      </w:r>
      <w:r>
        <w:t>дохідностей</w:t>
      </w:r>
      <w:r w:rsidRPr="002E24A5">
        <w:rPr>
          <w:lang w:val="en-US"/>
        </w:rPr>
        <w:t xml:space="preserve"> i-</w:t>
      </w:r>
      <w:r>
        <w:t>ї</w:t>
      </w:r>
      <w:r w:rsidRPr="002E24A5">
        <w:rPr>
          <w:lang w:val="en-US"/>
        </w:rPr>
        <w:t xml:space="preserve"> </w:t>
      </w:r>
      <w:r>
        <w:t>та</w:t>
      </w:r>
      <w:r w:rsidRPr="002E24A5">
        <w:rPr>
          <w:lang w:val="en-US"/>
        </w:rPr>
        <w:t xml:space="preserve"> j-</w:t>
      </w:r>
      <w:r>
        <w:t>ї</w:t>
      </w:r>
      <w:r w:rsidRPr="002E24A5">
        <w:rPr>
          <w:lang w:val="en-US"/>
        </w:rPr>
        <w:t xml:space="preserve"> </w:t>
      </w:r>
      <w:r>
        <w:t>груп</w:t>
      </w:r>
      <w:r w:rsidRPr="002E24A5">
        <w:rPr>
          <w:lang w:val="en-US"/>
        </w:rPr>
        <w:t xml:space="preserve"> </w:t>
      </w:r>
      <w:r>
        <w:t>цінних</w:t>
      </w:r>
      <w:r w:rsidRPr="002E24A5">
        <w:rPr>
          <w:lang w:val="en-US"/>
        </w:rPr>
        <w:t xml:space="preserve"> </w:t>
      </w:r>
      <w:r>
        <w:t>паперів</w:t>
      </w:r>
      <w:r w:rsidRPr="002E24A5">
        <w:rPr>
          <w:lang w:val="en-US"/>
        </w:rPr>
        <w:t>.</w:t>
      </w:r>
    </w:p>
    <w:p w:rsidR="001A3F0E" w:rsidRDefault="001A3F0E" w:rsidP="002E24A5">
      <w:pPr>
        <w:tabs>
          <w:tab w:val="left" w:pos="1035"/>
        </w:tabs>
        <w:spacing w:line="240" w:lineRule="auto"/>
        <w:ind w:firstLine="709"/>
        <w:rPr>
          <w:lang w:val="en-US"/>
        </w:rPr>
      </w:pPr>
    </w:p>
    <w:p w:rsidR="001A3F0E" w:rsidRDefault="001A3F0E" w:rsidP="001A3F0E">
      <w:pPr>
        <w:tabs>
          <w:tab w:val="left" w:pos="1035"/>
        </w:tabs>
        <w:spacing w:line="240" w:lineRule="auto"/>
        <w:ind w:firstLine="709"/>
        <w:jc w:val="center"/>
        <w:rPr>
          <w:b/>
          <w:lang w:val="en-US"/>
        </w:rPr>
      </w:pPr>
      <w:r w:rsidRPr="001A3F0E">
        <w:rPr>
          <w:b/>
        </w:rPr>
        <w:t>Ефективність управління портфелем цінних паперів банку</w:t>
      </w:r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Ефективність управління портфелем цінних паперів банку визначається за спі</w:t>
      </w:r>
      <w:proofErr w:type="gramStart"/>
      <w:r>
        <w:t>вв</w:t>
      </w:r>
      <w:proofErr w:type="gramEnd"/>
      <w:r>
        <w:t>ідношенням дохідності та ризикованості портфеля.</w:t>
      </w:r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Згідно</w:t>
      </w:r>
      <w:r w:rsidRPr="001A3F0E">
        <w:rPr>
          <w:lang w:val="en-US"/>
        </w:rPr>
        <w:t xml:space="preserve"> </w:t>
      </w:r>
      <w:r>
        <w:t>з</w:t>
      </w:r>
      <w:r w:rsidRPr="001A3F0E">
        <w:rPr>
          <w:lang w:val="en-US"/>
        </w:rPr>
        <w:t xml:space="preserve"> </w:t>
      </w:r>
      <w:r>
        <w:t>основними</w:t>
      </w:r>
      <w:r w:rsidRPr="001A3F0E">
        <w:rPr>
          <w:lang w:val="en-US"/>
        </w:rPr>
        <w:t xml:space="preserve"> </w:t>
      </w:r>
      <w:r>
        <w:t>положеннями</w:t>
      </w:r>
      <w:r w:rsidRPr="001A3F0E">
        <w:rPr>
          <w:lang w:val="en-US"/>
        </w:rPr>
        <w:t xml:space="preserve"> </w:t>
      </w:r>
      <w:r>
        <w:t>моделі</w:t>
      </w:r>
      <w:r w:rsidRPr="001A3F0E">
        <w:rPr>
          <w:lang w:val="en-US"/>
        </w:rPr>
        <w:t xml:space="preserve"> </w:t>
      </w:r>
      <w:r>
        <w:t>САРМ</w:t>
      </w:r>
      <w:r w:rsidRPr="001A3F0E">
        <w:rPr>
          <w:lang w:val="en-US"/>
        </w:rPr>
        <w:t xml:space="preserve"> </w:t>
      </w:r>
      <w:r>
        <w:t>дохідність</w:t>
      </w:r>
      <w:r w:rsidRPr="001A3F0E">
        <w:rPr>
          <w:lang w:val="en-US"/>
        </w:rPr>
        <w:t xml:space="preserve"> </w:t>
      </w:r>
      <w:r>
        <w:t>портфеля</w:t>
      </w:r>
      <w:r w:rsidRPr="001A3F0E">
        <w:rPr>
          <w:lang w:val="en-US"/>
        </w:rPr>
        <w:t xml:space="preserve"> </w:t>
      </w:r>
      <w:r>
        <w:t>цінних</w:t>
      </w:r>
      <w:r w:rsidRPr="001A3F0E">
        <w:rPr>
          <w:lang w:val="en-US"/>
        </w:rPr>
        <w:t xml:space="preserve"> </w:t>
      </w:r>
      <w:r>
        <w:t>паперів</w:t>
      </w:r>
      <w:r w:rsidRPr="001A3F0E">
        <w:rPr>
          <w:lang w:val="en-US"/>
        </w:rPr>
        <w:t xml:space="preserve"> (d</w:t>
      </w:r>
      <w:r w:rsidRPr="001A3F0E">
        <w:rPr>
          <w:vertAlign w:val="subscript"/>
          <w:lang w:val="en-US"/>
        </w:rPr>
        <w:t>p</w:t>
      </w:r>
      <w:r w:rsidRPr="001A3F0E">
        <w:rPr>
          <w:lang w:val="en-US"/>
        </w:rPr>
        <w:t xml:space="preserve">) </w:t>
      </w:r>
      <w:r>
        <w:t>розглядається</w:t>
      </w:r>
      <w:r w:rsidRPr="001A3F0E">
        <w:rPr>
          <w:lang w:val="en-US"/>
        </w:rPr>
        <w:t xml:space="preserve"> </w:t>
      </w:r>
      <w:r>
        <w:t>як</w:t>
      </w:r>
      <w:r w:rsidRPr="001A3F0E">
        <w:rPr>
          <w:lang w:val="en-US"/>
        </w:rPr>
        <w:t xml:space="preserve"> </w:t>
      </w:r>
      <w:r>
        <w:t>функція</w:t>
      </w:r>
      <w:r w:rsidRPr="001A3F0E">
        <w:rPr>
          <w:lang w:val="en-US"/>
        </w:rPr>
        <w:t xml:space="preserve"> </w:t>
      </w:r>
      <w:r>
        <w:t>трьох</w:t>
      </w:r>
      <w:r w:rsidRPr="001A3F0E">
        <w:rPr>
          <w:lang w:val="en-US"/>
        </w:rPr>
        <w:t xml:space="preserve"> </w:t>
      </w:r>
      <w:r>
        <w:t>змінних</w:t>
      </w:r>
      <w:r w:rsidRPr="001A3F0E">
        <w:rPr>
          <w:lang w:val="en-US"/>
        </w:rPr>
        <w:t xml:space="preserve">: </w:t>
      </w:r>
      <w:r>
        <w:t>системного</w:t>
      </w:r>
      <w:r w:rsidRPr="001A3F0E">
        <w:rPr>
          <w:lang w:val="en-US"/>
        </w:rPr>
        <w:t xml:space="preserve"> </w:t>
      </w:r>
      <w:r>
        <w:t>ризику</w:t>
      </w:r>
      <w:r w:rsidRPr="001A3F0E">
        <w:rPr>
          <w:lang w:val="en-US"/>
        </w:rPr>
        <w:t xml:space="preserve"> </w:t>
      </w:r>
      <w:r>
        <w:t>портфеля</w:t>
      </w:r>
      <w:r w:rsidRPr="001A3F0E">
        <w:rPr>
          <w:lang w:val="en-US"/>
        </w:rPr>
        <w:t xml:space="preserve"> (</w:t>
      </w:r>
      <w:r>
        <w:sym w:font="Symbol" w:char="F062"/>
      </w:r>
      <w:r w:rsidRPr="001A3F0E">
        <w:rPr>
          <w:vertAlign w:val="subscript"/>
        </w:rPr>
        <w:t>р</w:t>
      </w:r>
      <w:r w:rsidRPr="001A3F0E">
        <w:rPr>
          <w:lang w:val="en-US"/>
        </w:rPr>
        <w:t xml:space="preserve">), </w:t>
      </w:r>
      <w:r>
        <w:t>очікуваної</w:t>
      </w:r>
      <w:r w:rsidRPr="001A3F0E">
        <w:rPr>
          <w:lang w:val="en-US"/>
        </w:rPr>
        <w:t xml:space="preserve"> </w:t>
      </w:r>
      <w:r>
        <w:t>дохідності</w:t>
      </w:r>
      <w:r w:rsidRPr="001A3F0E">
        <w:rPr>
          <w:lang w:val="en-US"/>
        </w:rPr>
        <w:t xml:space="preserve"> </w:t>
      </w:r>
      <w:r>
        <w:t>ринкового</w:t>
      </w:r>
      <w:r w:rsidRPr="001A3F0E">
        <w:rPr>
          <w:lang w:val="en-US"/>
        </w:rPr>
        <w:t xml:space="preserve"> </w:t>
      </w:r>
      <w:r>
        <w:t>портфеля</w:t>
      </w:r>
      <w:r w:rsidRPr="001A3F0E">
        <w:rPr>
          <w:lang w:val="en-US"/>
        </w:rPr>
        <w:t xml:space="preserve"> (d</w:t>
      </w:r>
      <w:r w:rsidRPr="001A3F0E">
        <w:rPr>
          <w:vertAlign w:val="subscript"/>
          <w:lang w:val="en-US"/>
        </w:rPr>
        <w:t>m</w:t>
      </w:r>
      <w:r w:rsidRPr="001A3F0E">
        <w:rPr>
          <w:lang w:val="en-US"/>
        </w:rPr>
        <w:t xml:space="preserve">) </w:t>
      </w:r>
      <w:r>
        <w:t>та</w:t>
      </w:r>
      <w:r w:rsidRPr="001A3F0E">
        <w:rPr>
          <w:lang w:val="en-US"/>
        </w:rPr>
        <w:t xml:space="preserve"> </w:t>
      </w:r>
      <w:r>
        <w:t>ставки</w:t>
      </w:r>
      <w:r w:rsidRPr="001A3F0E">
        <w:rPr>
          <w:lang w:val="en-US"/>
        </w:rPr>
        <w:t xml:space="preserve"> </w:t>
      </w:r>
      <w:r>
        <w:t>доходу</w:t>
      </w:r>
      <w:r w:rsidRPr="001A3F0E">
        <w:rPr>
          <w:lang w:val="en-US"/>
        </w:rPr>
        <w:t xml:space="preserve"> </w:t>
      </w:r>
      <w:r>
        <w:t>за</w:t>
      </w:r>
      <w:r w:rsidRPr="001A3F0E">
        <w:rPr>
          <w:lang w:val="en-US"/>
        </w:rPr>
        <w:t xml:space="preserve"> </w:t>
      </w:r>
      <w:r>
        <w:t>безризиковими</w:t>
      </w:r>
      <w:r w:rsidRPr="001A3F0E">
        <w:rPr>
          <w:lang w:val="en-US"/>
        </w:rPr>
        <w:t xml:space="preserve"> </w:t>
      </w:r>
      <w:r>
        <w:t>цін</w:t>
      </w:r>
      <w:r w:rsidRPr="001A3F0E">
        <w:rPr>
          <w:lang w:val="en-US"/>
        </w:rPr>
        <w:t/>
      </w:r>
      <w:r>
        <w:t>ними</w:t>
      </w:r>
      <w:r w:rsidRPr="001A3F0E">
        <w:rPr>
          <w:lang w:val="en-US"/>
        </w:rPr>
        <w:t xml:space="preserve"> </w:t>
      </w:r>
      <w:r>
        <w:t>паперами</w:t>
      </w:r>
      <w:r w:rsidRPr="001A3F0E">
        <w:rPr>
          <w:lang w:val="en-US"/>
        </w:rPr>
        <w:t xml:space="preserve"> (d</w:t>
      </w:r>
      <w:r w:rsidRPr="001A3F0E">
        <w:rPr>
          <w:vertAlign w:val="subscript"/>
          <w:lang w:val="en-US"/>
        </w:rPr>
        <w:t>0</w:t>
      </w:r>
      <w:r w:rsidRPr="001A3F0E">
        <w:rPr>
          <w:lang w:val="en-US"/>
        </w:rPr>
        <w:t xml:space="preserve">). </w:t>
      </w:r>
      <w:r>
        <w:t xml:space="preserve">Залежність </w:t>
      </w:r>
      <w:proofErr w:type="gramStart"/>
      <w:r>
        <w:t>між</w:t>
      </w:r>
      <w:proofErr w:type="gramEnd"/>
      <w:r>
        <w:t xml:space="preserve"> очікуваною дохідністю та ризиком виражається формулою:</w:t>
      </w:r>
    </w:p>
    <w:p w:rsidR="001A3F0E" w:rsidRPr="001A3F0E" w:rsidRDefault="001A3F0E" w:rsidP="001A3F0E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 xml:space="preserve">                                                (6.17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На основі моделі САРМ оцінюється ефективність управління портфелем цінних паперів. Коефіцієнт ефективності розрахо</w:t>
      </w:r>
      <w:r>
        <w:t xml:space="preserve">вується як відношення </w:t>
      </w:r>
      <w:proofErr w:type="gramStart"/>
      <w:r>
        <w:t>р</w:t>
      </w:r>
      <w:proofErr w:type="gramEnd"/>
      <w:r>
        <w:t>ізниці</w:t>
      </w:r>
      <w:r>
        <w:t xml:space="preserve"> між дохідністю портфеля (реаль</w:t>
      </w:r>
      <w:r>
        <w:t xml:space="preserve">ною або очікуваною) та безризиковою ставкою до показника, який відображає ризик портфеля. </w:t>
      </w:r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В</w:t>
      </w:r>
      <w:r w:rsidRPr="001A3F0E">
        <w:rPr>
          <w:lang w:val="en-US"/>
        </w:rPr>
        <w:t xml:space="preserve"> </w:t>
      </w:r>
      <w:r>
        <w:t>теорії</w:t>
      </w:r>
      <w:r w:rsidRPr="001A3F0E">
        <w:rPr>
          <w:lang w:val="en-US"/>
        </w:rPr>
        <w:t xml:space="preserve"> </w:t>
      </w:r>
      <w:r>
        <w:t>управління</w:t>
      </w:r>
      <w:r w:rsidRPr="001A3F0E">
        <w:rPr>
          <w:lang w:val="en-US"/>
        </w:rPr>
        <w:t xml:space="preserve"> </w:t>
      </w:r>
      <w:r>
        <w:t>обґрунтовано</w:t>
      </w:r>
      <w:r w:rsidRPr="001A3F0E">
        <w:rPr>
          <w:lang w:val="en-US"/>
        </w:rPr>
        <w:t xml:space="preserve"> </w:t>
      </w:r>
      <w:r>
        <w:t>декілька</w:t>
      </w:r>
      <w:r w:rsidRPr="001A3F0E">
        <w:rPr>
          <w:lang w:val="en-US"/>
        </w:rPr>
        <w:t xml:space="preserve"> </w:t>
      </w:r>
      <w:r>
        <w:t>коефіцієнтів</w:t>
      </w:r>
      <w:r w:rsidRPr="001A3F0E">
        <w:rPr>
          <w:lang w:val="en-US"/>
        </w:rPr>
        <w:t xml:space="preserve"> </w:t>
      </w:r>
      <w:r>
        <w:t>ефективності</w:t>
      </w:r>
      <w:r w:rsidRPr="001A3F0E">
        <w:rPr>
          <w:lang w:val="en-US"/>
        </w:rPr>
        <w:t xml:space="preserve">, </w:t>
      </w:r>
      <w:r>
        <w:t>які</w:t>
      </w:r>
      <w:r w:rsidRPr="001A3F0E">
        <w:rPr>
          <w:lang w:val="en-US"/>
        </w:rPr>
        <w:t xml:space="preserve"> </w:t>
      </w:r>
      <w:r>
        <w:t>можуть</w:t>
      </w:r>
      <w:r w:rsidRPr="001A3F0E">
        <w:rPr>
          <w:lang w:val="en-US"/>
        </w:rPr>
        <w:t xml:space="preserve"> </w:t>
      </w:r>
      <w:r>
        <w:t>бути</w:t>
      </w:r>
      <w:r w:rsidRPr="001A3F0E">
        <w:rPr>
          <w:lang w:val="en-US"/>
        </w:rPr>
        <w:t xml:space="preserve"> </w:t>
      </w:r>
      <w:r>
        <w:t>використані</w:t>
      </w:r>
      <w:r w:rsidRPr="001A3F0E">
        <w:rPr>
          <w:lang w:val="en-US"/>
        </w:rPr>
        <w:t xml:space="preserve"> </w:t>
      </w:r>
      <w:r>
        <w:t>в</w:t>
      </w:r>
      <w:r w:rsidRPr="001A3F0E">
        <w:rPr>
          <w:lang w:val="en-US"/>
        </w:rPr>
        <w:t xml:space="preserve"> </w:t>
      </w:r>
      <w:r>
        <w:t>процесі</w:t>
      </w:r>
      <w:r w:rsidRPr="001A3F0E">
        <w:rPr>
          <w:lang w:val="en-US"/>
        </w:rPr>
        <w:t xml:space="preserve"> </w:t>
      </w:r>
      <w:r>
        <w:t>аналізу</w:t>
      </w:r>
      <w:r w:rsidRPr="001A3F0E">
        <w:rPr>
          <w:lang w:val="en-US"/>
        </w:rPr>
        <w:t xml:space="preserve"> </w:t>
      </w:r>
      <w:r>
        <w:t>та</w:t>
      </w:r>
      <w:r w:rsidRPr="001A3F0E">
        <w:rPr>
          <w:lang w:val="en-US"/>
        </w:rPr>
        <w:t xml:space="preserve"> </w:t>
      </w:r>
      <w:r>
        <w:t>прийняття</w:t>
      </w:r>
      <w:r w:rsidRPr="001A3F0E">
        <w:rPr>
          <w:lang w:val="en-US"/>
        </w:rPr>
        <w:t xml:space="preserve"> </w:t>
      </w:r>
      <w:r>
        <w:t>управлінських</w:t>
      </w:r>
      <w:r w:rsidRPr="001A3F0E">
        <w:rPr>
          <w:lang w:val="en-US"/>
        </w:rPr>
        <w:t xml:space="preserve"> </w:t>
      </w:r>
      <w:proofErr w:type="gramStart"/>
      <w:r>
        <w:t>р</w:t>
      </w:r>
      <w:proofErr w:type="gramEnd"/>
      <w:r>
        <w:t>ішень</w:t>
      </w:r>
      <w:r w:rsidRPr="001A3F0E">
        <w:rPr>
          <w:lang w:val="en-US"/>
        </w:rPr>
        <w:t xml:space="preserve">. </w:t>
      </w:r>
      <w:r>
        <w:t>У</w:t>
      </w:r>
      <w:r w:rsidRPr="001A3F0E">
        <w:rPr>
          <w:lang w:val="en-US"/>
        </w:rPr>
        <w:t xml:space="preserve"> </w:t>
      </w:r>
      <w:r>
        <w:t>цілому</w:t>
      </w:r>
      <w:r w:rsidRPr="001A3F0E">
        <w:rPr>
          <w:lang w:val="en-US"/>
        </w:rPr>
        <w:t xml:space="preserve"> </w:t>
      </w:r>
      <w:r>
        <w:t>коефіцієнти</w:t>
      </w:r>
      <w:r w:rsidRPr="001A3F0E">
        <w:rPr>
          <w:lang w:val="en-US"/>
        </w:rPr>
        <w:t xml:space="preserve"> </w:t>
      </w:r>
      <w:r>
        <w:t>ефективності</w:t>
      </w:r>
      <w:r w:rsidRPr="001A3F0E">
        <w:rPr>
          <w:lang w:val="en-US"/>
        </w:rPr>
        <w:t xml:space="preserve"> </w:t>
      </w:r>
      <w:r>
        <w:t>управління</w:t>
      </w:r>
      <w:r w:rsidRPr="001A3F0E">
        <w:rPr>
          <w:lang w:val="en-US"/>
        </w:rPr>
        <w:t xml:space="preserve"> </w:t>
      </w:r>
      <w:r>
        <w:t>портфелями</w:t>
      </w:r>
      <w:r w:rsidRPr="001A3F0E">
        <w:rPr>
          <w:lang w:val="en-US"/>
        </w:rPr>
        <w:t xml:space="preserve"> </w:t>
      </w:r>
      <w:r>
        <w:t>цінних</w:t>
      </w:r>
      <w:r w:rsidRPr="001A3F0E">
        <w:rPr>
          <w:lang w:val="en-US"/>
        </w:rPr>
        <w:t xml:space="preserve"> </w:t>
      </w:r>
      <w:r>
        <w:t>паперів</w:t>
      </w:r>
      <w:r w:rsidRPr="001A3F0E">
        <w:rPr>
          <w:lang w:val="en-US"/>
        </w:rPr>
        <w:t xml:space="preserve"> </w:t>
      </w:r>
      <w:r>
        <w:t>мають</w:t>
      </w:r>
      <w:r w:rsidRPr="001A3F0E">
        <w:rPr>
          <w:lang w:val="en-US"/>
        </w:rPr>
        <w:t xml:space="preserve"> </w:t>
      </w:r>
      <w:r>
        <w:t>однакову</w:t>
      </w:r>
      <w:r w:rsidRPr="001A3F0E">
        <w:rPr>
          <w:lang w:val="en-US"/>
        </w:rPr>
        <w:t xml:space="preserve"> </w:t>
      </w:r>
      <w:r>
        <w:t>структур</w:t>
      </w:r>
      <w:r>
        <w:t>у</w:t>
      </w:r>
      <w:r w:rsidRPr="001A3F0E">
        <w:rPr>
          <w:lang w:val="en-US"/>
        </w:rPr>
        <w:t xml:space="preserve">, </w:t>
      </w:r>
      <w:r>
        <w:t>але</w:t>
      </w:r>
      <w:r w:rsidRPr="001A3F0E">
        <w:rPr>
          <w:lang w:val="en-US"/>
        </w:rPr>
        <w:t xml:space="preserve"> </w:t>
      </w:r>
      <w:r>
        <w:t>ві</w:t>
      </w:r>
      <w:proofErr w:type="gramStart"/>
      <w:r>
        <w:t>др</w:t>
      </w:r>
      <w:proofErr w:type="gramEnd"/>
      <w:r>
        <w:t>ізняються</w:t>
      </w:r>
      <w:r w:rsidRPr="001A3F0E">
        <w:rPr>
          <w:lang w:val="en-US"/>
        </w:rPr>
        <w:t xml:space="preserve"> </w:t>
      </w:r>
      <w:r>
        <w:t>за</w:t>
      </w:r>
      <w:r w:rsidRPr="001A3F0E">
        <w:rPr>
          <w:lang w:val="en-US"/>
        </w:rPr>
        <w:t xml:space="preserve"> </w:t>
      </w:r>
      <w:r>
        <w:t>способа</w:t>
      </w:r>
      <w:r>
        <w:t>ми</w:t>
      </w:r>
      <w:r w:rsidRPr="001A3F0E">
        <w:rPr>
          <w:lang w:val="en-US"/>
        </w:rPr>
        <w:t xml:space="preserve"> </w:t>
      </w:r>
      <w:r>
        <w:t>вимірювання</w:t>
      </w:r>
      <w:r w:rsidRPr="001A3F0E">
        <w:rPr>
          <w:lang w:val="en-US"/>
        </w:rPr>
        <w:t xml:space="preserve"> </w:t>
      </w:r>
      <w:r>
        <w:t>ризикованості</w:t>
      </w:r>
      <w:r w:rsidRPr="001A3F0E">
        <w:rPr>
          <w:lang w:val="en-US"/>
        </w:rPr>
        <w:t xml:space="preserve"> </w:t>
      </w:r>
      <w:r>
        <w:t>портфеля</w:t>
      </w:r>
      <w:r w:rsidRPr="001A3F0E">
        <w:rPr>
          <w:lang w:val="en-US"/>
        </w:rPr>
        <w:t xml:space="preserve">. </w:t>
      </w:r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Для</w:t>
      </w:r>
      <w:r w:rsidRPr="001A3F0E">
        <w:t xml:space="preserve"> </w:t>
      </w:r>
      <w:r>
        <w:t>визначення</w:t>
      </w:r>
      <w:r w:rsidRPr="001A3F0E">
        <w:t xml:space="preserve"> </w:t>
      </w:r>
      <w:r>
        <w:t>ефективності</w:t>
      </w:r>
      <w:r w:rsidRPr="001A3F0E">
        <w:t xml:space="preserve"> </w:t>
      </w:r>
      <w:r>
        <w:t>диверсифікованого</w:t>
      </w:r>
      <w:r w:rsidRPr="001A3F0E">
        <w:t xml:space="preserve"> </w:t>
      </w:r>
      <w:r>
        <w:t>портфеля</w:t>
      </w:r>
      <w:r w:rsidRPr="001A3F0E">
        <w:t xml:space="preserve"> </w:t>
      </w:r>
      <w:r>
        <w:t>використовують</w:t>
      </w:r>
      <w:r w:rsidRPr="001A3F0E">
        <w:t xml:space="preserve"> </w:t>
      </w:r>
      <w:r w:rsidRPr="001A3F0E">
        <w:rPr>
          <w:b/>
        </w:rPr>
        <w:t>коефіцієнт Трейнора</w:t>
      </w:r>
      <w:r w:rsidRPr="001A3F0E">
        <w:t xml:space="preserve"> (</w:t>
      </w:r>
      <w:r w:rsidRPr="001A3F0E">
        <w:rPr>
          <w:lang w:val="en-US"/>
        </w:rPr>
        <w:t>kT</w:t>
      </w:r>
      <w:r w:rsidRPr="001A3F0E">
        <w:t>):</w:t>
      </w:r>
    </w:p>
    <w:p w:rsidR="001A3F0E" w:rsidRPr="001A3F0E" w:rsidRDefault="001A3F0E" w:rsidP="001A3F0E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 ,                                                              (6.18</m:t>
          </m:r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де d</w:t>
      </w:r>
      <w:r w:rsidRPr="001A3F0E">
        <w:rPr>
          <w:vertAlign w:val="subscript"/>
        </w:rPr>
        <w:t>p</w:t>
      </w:r>
      <w:r>
        <w:t xml:space="preserve"> — дохідність портфеля інвестора </w:t>
      </w:r>
      <w:proofErr w:type="gramStart"/>
      <w:r>
        <w:t>за</w:t>
      </w:r>
      <w:proofErr w:type="gramEnd"/>
      <w:r>
        <w:t xml:space="preserve"> період, що аналізується;</w:t>
      </w:r>
    </w:p>
    <w:p w:rsidR="001A3F0E" w:rsidRPr="001A3F0E" w:rsidRDefault="001A3F0E" w:rsidP="001A3F0E">
      <w:pPr>
        <w:tabs>
          <w:tab w:val="left" w:pos="1035"/>
        </w:tabs>
        <w:spacing w:line="240" w:lineRule="auto"/>
        <w:ind w:firstLine="709"/>
      </w:pPr>
      <w:r>
        <w:t xml:space="preserve"> d</w:t>
      </w:r>
      <w:r w:rsidRPr="001A3F0E">
        <w:rPr>
          <w:vertAlign w:val="subscript"/>
        </w:rPr>
        <w:t>0</w:t>
      </w:r>
      <w:r>
        <w:t xml:space="preserve"> — середня безризикова ставка за той самий період. </w:t>
      </w:r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 w:rsidRPr="001A3F0E">
        <w:rPr>
          <w:b/>
        </w:rPr>
        <w:t>Коефіцієнт Шарпа</w:t>
      </w:r>
      <w:r>
        <w:t xml:space="preserve"> через ста</w:t>
      </w:r>
      <w:r>
        <w:t>ндартне відхилення дозволяє вра</w:t>
      </w:r>
      <w:r>
        <w:t>хувати як системний, так і несистемний ризики, властиві даному портфелю. Оскільки несистем</w:t>
      </w:r>
      <w:r>
        <w:t>ний ризик може бути знижений ди</w:t>
      </w:r>
      <w:r>
        <w:t>версифікацією портфеля, а отже, для широкодиверсифікованого портфеля такого ризику майже нема</w:t>
      </w:r>
      <w:proofErr w:type="gramStart"/>
      <w:r>
        <w:t>є,</w:t>
      </w:r>
      <w:proofErr w:type="gramEnd"/>
      <w:r>
        <w:t xml:space="preserve"> то коефіцієнт Шарпа доцільно застосовувати для ана</w:t>
      </w:r>
      <w:r>
        <w:t>лізу недиверсифікованого банків</w:t>
      </w:r>
      <w:r>
        <w:t>ського портфеля цінних паперів (kS):</w:t>
      </w:r>
    </w:p>
    <w:p w:rsidR="001A3F0E" w:rsidRPr="001A3F0E" w:rsidRDefault="001A3F0E" w:rsidP="001A3F0E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 ,                                                              (6.1</m:t>
          </m:r>
          <m:r>
            <w:rPr>
              <w:rFonts w:ascii="Cambria Math" w:eastAsiaTheme="minorEastAsia" w:hAnsi="Cambria Math"/>
              <w:lang w:val="en-US"/>
            </w:rPr>
            <m:t>9</m:t>
          </m:r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1A3F0E" w:rsidRDefault="001A3F0E" w:rsidP="001A3F0E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 xml:space="preserve">де </w:t>
      </w:r>
      <w:r>
        <w:sym w:font="Symbol" w:char="F073"/>
      </w:r>
      <w:r>
        <w:t>p — стандартне відхилення дохідності портфеля банку.</w:t>
      </w:r>
    </w:p>
    <w:p w:rsidR="00A80339" w:rsidRDefault="00A80339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</w:p>
    <w:p w:rsidR="00A80339" w:rsidRPr="00A80339" w:rsidRDefault="00A80339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</w:p>
    <w:p w:rsidR="00A80339" w:rsidRDefault="00A80339" w:rsidP="00A80339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40" w:lineRule="auto"/>
        <w:ind w:left="0" w:firstLine="709"/>
        <w:rPr>
          <w:b/>
          <w:lang w:val="uk-UA"/>
        </w:rPr>
      </w:pPr>
      <w:r w:rsidRPr="00A80339">
        <w:rPr>
          <w:b/>
        </w:rPr>
        <w:lastRenderedPageBreak/>
        <w:t>Управління інвестиційним горизонтом банківського портфеля цінних папері</w:t>
      </w:r>
      <w:proofErr w:type="gramStart"/>
      <w:r w:rsidRPr="00A80339">
        <w:rPr>
          <w:b/>
        </w:rPr>
        <w:t>в</w:t>
      </w:r>
      <w:proofErr w:type="gramEnd"/>
      <w:r w:rsidRPr="00A80339">
        <w:rPr>
          <w:b/>
          <w:lang w:val="uk-UA"/>
        </w:rPr>
        <w:t>.</w:t>
      </w:r>
    </w:p>
    <w:p w:rsidR="00A80339" w:rsidRDefault="00A80339" w:rsidP="00A80339">
      <w:pPr>
        <w:pStyle w:val="a3"/>
        <w:tabs>
          <w:tab w:val="left" w:pos="0"/>
          <w:tab w:val="left" w:pos="1134"/>
        </w:tabs>
        <w:spacing w:line="240" w:lineRule="auto"/>
        <w:ind w:left="0" w:firstLine="709"/>
        <w:rPr>
          <w:lang w:val="uk-UA"/>
        </w:rPr>
      </w:pPr>
      <w:r w:rsidRPr="00A80339">
        <w:rPr>
          <w:lang w:val="uk-UA"/>
        </w:rPr>
        <w:t>Одним із важливих питань інвестиційного менеджменту є вибір оптимального з погляду поставленої мети підходу до управління інвестиційн</w:t>
      </w:r>
      <w:r>
        <w:rPr>
          <w:lang w:val="uk-UA"/>
        </w:rPr>
        <w:t>им горизонтом банківського порт</w:t>
      </w:r>
      <w:r w:rsidRPr="00A80339">
        <w:rPr>
          <w:lang w:val="uk-UA"/>
        </w:rPr>
        <w:t xml:space="preserve">феля цінних паперів. </w:t>
      </w:r>
    </w:p>
    <w:p w:rsidR="00A80339" w:rsidRDefault="00A80339" w:rsidP="00A80339">
      <w:pPr>
        <w:pStyle w:val="a3"/>
        <w:tabs>
          <w:tab w:val="left" w:pos="0"/>
          <w:tab w:val="left" w:pos="1134"/>
        </w:tabs>
        <w:spacing w:line="240" w:lineRule="auto"/>
        <w:ind w:left="0" w:firstLine="709"/>
        <w:rPr>
          <w:lang w:val="uk-UA"/>
        </w:rPr>
      </w:pPr>
      <w:r w:rsidRPr="00A80339">
        <w:rPr>
          <w:lang w:val="uk-UA"/>
        </w:rPr>
        <w:t xml:space="preserve">Під </w:t>
      </w:r>
      <w:r w:rsidRPr="00A80339">
        <w:rPr>
          <w:b/>
          <w:lang w:val="uk-UA"/>
        </w:rPr>
        <w:t>інвестиційним горизонтом</w:t>
      </w:r>
      <w:r>
        <w:rPr>
          <w:lang w:val="uk-UA"/>
        </w:rPr>
        <w:t xml:space="preserve"> ро</w:t>
      </w:r>
      <w:r w:rsidRPr="00A80339">
        <w:rPr>
          <w:lang w:val="uk-UA"/>
        </w:rPr>
        <w:t xml:space="preserve">зуміють розподіл портфеля в динаміці, тобто добір цінних паперів з урахуванням строків їх погашення. </w:t>
      </w:r>
    </w:p>
    <w:p w:rsidR="00A80339" w:rsidRDefault="00A80339" w:rsidP="00A80339">
      <w:pPr>
        <w:pStyle w:val="a3"/>
        <w:tabs>
          <w:tab w:val="left" w:pos="0"/>
          <w:tab w:val="left" w:pos="1134"/>
        </w:tabs>
        <w:spacing w:line="240" w:lineRule="auto"/>
        <w:ind w:left="0" w:firstLine="709"/>
        <w:rPr>
          <w:lang w:val="uk-UA"/>
        </w:rPr>
      </w:pPr>
      <w:r>
        <w:t>У процесі управління менеджмент банку постійно вирішує питання: цінні папери з якими строками погашення мають перебувати у портфелі банку.</w:t>
      </w:r>
    </w:p>
    <w:p w:rsidR="00C87E82" w:rsidRDefault="00C87E82" w:rsidP="00C87E82">
      <w:pPr>
        <w:pStyle w:val="a3"/>
        <w:tabs>
          <w:tab w:val="left" w:pos="0"/>
          <w:tab w:val="left" w:pos="1134"/>
        </w:tabs>
        <w:spacing w:line="240" w:lineRule="auto"/>
        <w:ind w:left="0" w:firstLine="709"/>
        <w:jc w:val="center"/>
        <w:rPr>
          <w:b/>
          <w:lang w:val="uk-UA"/>
        </w:rPr>
      </w:pPr>
    </w:p>
    <w:p w:rsidR="00C87E82" w:rsidRPr="00C87E82" w:rsidRDefault="00C87E82" w:rsidP="00C87E82">
      <w:pPr>
        <w:pStyle w:val="a3"/>
        <w:tabs>
          <w:tab w:val="left" w:pos="0"/>
          <w:tab w:val="left" w:pos="1134"/>
        </w:tabs>
        <w:spacing w:line="240" w:lineRule="auto"/>
        <w:ind w:left="0" w:firstLine="709"/>
        <w:jc w:val="center"/>
        <w:rPr>
          <w:b/>
          <w:lang w:val="uk-UA"/>
        </w:rPr>
      </w:pPr>
      <w:r w:rsidRPr="00C87E82">
        <w:rPr>
          <w:b/>
          <w:lang w:val="uk-UA"/>
        </w:rPr>
        <w:t>Стратегії управління інвестиційним горизонтом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b/>
          <w:lang w:val="uk-UA"/>
        </w:rPr>
        <w:t>Стратегія рівномірного розподілу</w:t>
      </w:r>
      <w:r>
        <w:rPr>
          <w:lang w:val="uk-UA"/>
        </w:rPr>
        <w:t xml:space="preserve"> полягає в інвестуванні кош</w:t>
      </w:r>
      <w:r w:rsidRPr="00C87E82">
        <w:rPr>
          <w:lang w:val="uk-UA"/>
        </w:rPr>
        <w:t xml:space="preserve">тів рівними частинами в кожному з кількох інтервалів, на які поділяється загальний інвестиційний горизонт. </w:t>
      </w:r>
      <w:r>
        <w:t>Для цього необ</w:t>
      </w:r>
      <w:r>
        <w:t xml:space="preserve">хідно визначити максимальний прийнятний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банку</w:t>
      </w:r>
      <w:proofErr w:type="gramEnd"/>
      <w:r>
        <w:t xml:space="preserve"> період ін</w:t>
      </w:r>
      <w:r>
        <w:t>вестування та поділити його на од</w:t>
      </w:r>
      <w:r>
        <w:t>накові часові інтервали. Загаль</w:t>
      </w:r>
      <w:r>
        <w:t xml:space="preserve">на сума інвестицій поділяється в </w:t>
      </w:r>
      <w:proofErr w:type="gramStart"/>
      <w:r>
        <w:t>р</w:t>
      </w:r>
      <w:proofErr w:type="gramEnd"/>
      <w:r>
        <w:t>івних пропорціях на стільки ж частин, і кошти спрямовуються на купівлю цінних паперів зі строками погашення в кожному з визначених інтервалів у межах загального інвестиційного горизонту.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Така стратегія не максимі</w:t>
      </w:r>
      <w:r w:rsidRPr="00C87E82">
        <w:rPr>
          <w:lang w:val="uk-UA"/>
        </w:rPr>
        <w:t>зує прибуток, але має такі переваги: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C87E82">
        <w:rPr>
          <w:lang w:val="uk-UA"/>
        </w:rPr>
        <w:t xml:space="preserve"> стабілізація доходу протягом усього періоду інвестування;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C87E82">
        <w:rPr>
          <w:lang w:val="uk-UA"/>
        </w:rPr>
        <w:t xml:space="preserve"> простота і доступність;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C87E82">
        <w:rPr>
          <w:lang w:val="uk-UA"/>
        </w:rPr>
        <w:t xml:space="preserve"> гнучкість, оскільки якась частина цінних паперів весь час погашається, а отже, кошти можу</w:t>
      </w:r>
      <w:r>
        <w:rPr>
          <w:lang w:val="uk-UA"/>
        </w:rPr>
        <w:t>ть бути реінвестовані в нові ак</w:t>
      </w:r>
      <w:r w:rsidRPr="00C87E82">
        <w:rPr>
          <w:lang w:val="uk-UA"/>
        </w:rPr>
        <w:t xml:space="preserve">тиви;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C87E82">
        <w:rPr>
          <w:lang w:val="uk-UA"/>
        </w:rPr>
        <w:t xml:space="preserve"> не потребує значної підготовки і </w:t>
      </w:r>
      <w:r>
        <w:rPr>
          <w:lang w:val="uk-UA"/>
        </w:rPr>
        <w:t>кваліфікації інвестиційних мене</w:t>
      </w:r>
      <w:r w:rsidRPr="00C87E82">
        <w:rPr>
          <w:lang w:val="uk-UA"/>
        </w:rPr>
        <w:t xml:space="preserve">джерів. </w:t>
      </w:r>
    </w:p>
    <w:p w:rsidR="00A80339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lang w:val="uk-UA"/>
        </w:rPr>
        <w:t>Стратегія рівномірного</w:t>
      </w:r>
      <w:r>
        <w:rPr>
          <w:lang w:val="uk-UA"/>
        </w:rPr>
        <w:t xml:space="preserve"> розподілу використовується зде</w:t>
      </w:r>
      <w:r w:rsidRPr="00C87E82">
        <w:rPr>
          <w:lang w:val="uk-UA"/>
        </w:rPr>
        <w:t>більшого невеликими банками.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b/>
        </w:rPr>
        <w:t>Стратегія короткострокового акценту</w:t>
      </w:r>
      <w:r>
        <w:t xml:space="preserve"> застосовується комер</w:t>
      </w:r>
      <w:r>
        <w:t>ційними банками у випадках, к</w:t>
      </w:r>
      <w:r>
        <w:t>оли портфель цінних паперів роз</w:t>
      </w:r>
      <w:r>
        <w:t xml:space="preserve">глядається як джерело </w:t>
      </w:r>
      <w:proofErr w:type="gramStart"/>
      <w:r>
        <w:t>п</w:t>
      </w:r>
      <w:proofErr w:type="gramEnd"/>
      <w:r>
        <w:t>ідтримання ліквідності, а не одержання доходу. При цьому вся сума і</w:t>
      </w:r>
      <w:r>
        <w:t>нвестицій вкладається в коротко</w:t>
      </w:r>
      <w:r>
        <w:t xml:space="preserve">строкові цінні папери, часовий діапазон яких перебуває в межах одного — двох років, що дозволяє забезпечити необхідний </w:t>
      </w:r>
      <w:proofErr w:type="gramStart"/>
      <w:r>
        <w:t>р</w:t>
      </w:r>
      <w:proofErr w:type="gramEnd"/>
      <w:r>
        <w:t xml:space="preserve">івень ліквідності.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b/>
        </w:rPr>
        <w:t>Стратегія довгострокового акценту</w:t>
      </w:r>
      <w:r>
        <w:t xml:space="preserve"> орієнтована на інве</w:t>
      </w:r>
      <w:r>
        <w:t>стиційний портфель як джерело</w:t>
      </w:r>
      <w:r>
        <w:t xml:space="preserve"> доходів банку. Банки, що додер</w:t>
      </w:r>
      <w:r>
        <w:t>жуються такої стратегії у форм</w:t>
      </w:r>
      <w:r>
        <w:t>уванні своїх інвестиційних порт</w:t>
      </w:r>
      <w:r>
        <w:t xml:space="preserve">фелів, вкладають кошти в довгострокові, а отже, більш дохідні цінні папери, наприклад, акції </w:t>
      </w:r>
      <w:proofErr w:type="gramStart"/>
      <w:r>
        <w:t>п</w:t>
      </w:r>
      <w:proofErr w:type="gramEnd"/>
      <w:r>
        <w:t>ідприємств та інших банків. По</w:t>
      </w:r>
      <w:r>
        <w:t>треби в ліквідних засобах зад</w:t>
      </w:r>
      <w:r>
        <w:t>овольняються позичками на грошо</w:t>
      </w:r>
      <w:r>
        <w:t xml:space="preserve">вому ринку або підтриманням значної частини активів у готівковій формі.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b/>
        </w:rPr>
        <w:t>Стратегія «штанги»</w:t>
      </w:r>
      <w:r>
        <w:t xml:space="preserve"> поєдн</w:t>
      </w:r>
      <w:r>
        <w:t>ує елементи стратегій довгостро</w:t>
      </w:r>
      <w:r>
        <w:t>кового і короткострокового акцент</w:t>
      </w:r>
      <w:r>
        <w:t xml:space="preserve">у. Згідно з таким </w:t>
      </w:r>
      <w:proofErr w:type="gramStart"/>
      <w:r>
        <w:t>п</w:t>
      </w:r>
      <w:proofErr w:type="gramEnd"/>
      <w:r>
        <w:t>ідходом біль</w:t>
      </w:r>
      <w:r>
        <w:t>ша частина інвестиційних коштів вкладається у високоліквідні короткострокові цінні папери, а решта коштів спрямовується на придбання довгострокових папе</w:t>
      </w:r>
      <w:r>
        <w:t>рів. Вкладення на середні періо</w:t>
      </w:r>
      <w:r>
        <w:t xml:space="preserve">ди не здійснюються або є мінімальними. Такий </w:t>
      </w:r>
      <w:proofErr w:type="gramStart"/>
      <w:r>
        <w:lastRenderedPageBreak/>
        <w:t>п</w:t>
      </w:r>
      <w:proofErr w:type="gramEnd"/>
      <w:r>
        <w:t>ідхід до форму</w:t>
      </w:r>
      <w:r>
        <w:t>вання портфеля цінних паперів</w:t>
      </w:r>
      <w:r>
        <w:t>, з одного боку, забезпечує лік</w:t>
      </w:r>
      <w:r>
        <w:t xml:space="preserve">відність, а з іншого — служить генератором доходів банку.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b/>
        </w:rPr>
        <w:t>Стратегія відсоткових очікувань</w:t>
      </w:r>
      <w:r>
        <w:t xml:space="preserve"> базується на постійному оновленні складових портфеля цінних паперів зале</w:t>
      </w:r>
      <w:r>
        <w:t>жно від очіку</w:t>
      </w:r>
      <w:r>
        <w:t xml:space="preserve">ваних змін відсоткових ставок </w:t>
      </w:r>
      <w:proofErr w:type="gramStart"/>
      <w:r>
        <w:t>н</w:t>
      </w:r>
      <w:r>
        <w:t>а</w:t>
      </w:r>
      <w:proofErr w:type="gramEnd"/>
      <w:r>
        <w:t xml:space="preserve"> ринку. Застосування цієї стра</w:t>
      </w:r>
      <w:r>
        <w:t xml:space="preserve">тегії </w:t>
      </w:r>
      <w:proofErr w:type="gramStart"/>
      <w:r>
        <w:t>спирається</w:t>
      </w:r>
      <w:proofErr w:type="gramEnd"/>
      <w:r>
        <w:t xml:space="preserve"> на поточні прогнози зміни відсоткових ставок та економічної кон’юнктури ринку.</w:t>
      </w:r>
      <w:r>
        <w:t xml:space="preserve"> Якщо </w:t>
      </w:r>
      <w:proofErr w:type="gramStart"/>
      <w:r>
        <w:t>очіку</w:t>
      </w:r>
      <w:proofErr w:type="gramEnd"/>
      <w:r>
        <w:t>ється зростання від</w:t>
      </w:r>
      <w:r>
        <w:t>соткових ставок, то менеджмент переглядає портфель ц</w:t>
      </w:r>
      <w:r>
        <w:t>інних па</w:t>
      </w:r>
      <w:r>
        <w:t xml:space="preserve">перів, маючи на меті скорочення інвестиційного горизонту, тобто купуються короткострокові папери. Коли прогноз </w:t>
      </w:r>
      <w:proofErr w:type="gramStart"/>
      <w:r>
        <w:t>св</w:t>
      </w:r>
      <w:proofErr w:type="gramEnd"/>
      <w:r>
        <w:t>ідчить про зниження відсоткових ставок у майбутньому, то склад портфеля переглядається для подовже</w:t>
      </w:r>
      <w:r>
        <w:t>ння строків погашення цінних па</w:t>
      </w:r>
      <w:r>
        <w:t>перів. Це — найбільш агресивна і складна стратегія управління інвестиційним горизонтом портфеля цінних паперів банку.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lang w:val="uk-UA"/>
        </w:rPr>
        <w:t xml:space="preserve"> Перевага стратегії полягає в наданні потенційної можливості одержання значних доходів, але і</w:t>
      </w:r>
      <w:r>
        <w:rPr>
          <w:lang w:val="uk-UA"/>
        </w:rPr>
        <w:t>снують й суттєві недоліки та об</w:t>
      </w:r>
      <w:r w:rsidRPr="00C87E82">
        <w:rPr>
          <w:lang w:val="uk-UA"/>
        </w:rPr>
        <w:t xml:space="preserve">меження, такі як: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C87E82">
        <w:rPr>
          <w:lang w:val="uk-UA"/>
        </w:rPr>
        <w:t xml:space="preserve"> високий рівень ризику, що супров</w:t>
      </w:r>
      <w:r>
        <w:rPr>
          <w:lang w:val="uk-UA"/>
        </w:rPr>
        <w:t>оджує цю стратегію, може призве</w:t>
      </w:r>
      <w:r w:rsidRPr="00C87E82">
        <w:rPr>
          <w:lang w:val="uk-UA"/>
        </w:rPr>
        <w:t xml:space="preserve">сти до значних фінансових утрат;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C87E82">
        <w:rPr>
          <w:lang w:val="uk-UA"/>
        </w:rPr>
        <w:t xml:space="preserve"> для використання такого</w:t>
      </w:r>
      <w:r>
        <w:rPr>
          <w:lang w:val="uk-UA"/>
        </w:rPr>
        <w:t xml:space="preserve"> підходу банки повинні мати мож</w:t>
      </w:r>
      <w:r w:rsidRPr="00C87E82">
        <w:rPr>
          <w:lang w:val="uk-UA"/>
        </w:rPr>
        <w:t xml:space="preserve">ливість постійного доступу на фондові ринки;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C87E82">
        <w:rPr>
          <w:lang w:val="uk-UA"/>
        </w:rPr>
        <w:t xml:space="preserve"> транзакційні витрати, зумовлені необхідністю частого виходу на ринки, суттєво зростають; 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C87E82">
        <w:rPr>
          <w:lang w:val="uk-UA"/>
        </w:rPr>
        <w:t xml:space="preserve"> стратегія потребує глибокого знання ринкових законів, застосування сучасних методів аналізу та прогнозув</w:t>
      </w:r>
      <w:r w:rsidRPr="00C87E82">
        <w:rPr>
          <w:lang w:val="uk-UA"/>
        </w:rPr>
        <w:t>ання, високої кваліфікації мене</w:t>
      </w:r>
      <w:r w:rsidRPr="00C87E82">
        <w:rPr>
          <w:lang w:val="uk-UA"/>
        </w:rPr>
        <w:t>джерів</w:t>
      </w:r>
    </w:p>
    <w:p w:rsidR="00C87E82" w:rsidRDefault="00C87E82" w:rsidP="001A3F0E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C87E82">
        <w:rPr>
          <w:lang w:val="uk-UA"/>
        </w:rPr>
        <w:t>Стратегія відсоткових очікувань застосовується великими банками, які забезпечені д</w:t>
      </w:r>
      <w:r>
        <w:rPr>
          <w:lang w:val="uk-UA"/>
        </w:rPr>
        <w:t>остатніми фінансовими і кадрови</w:t>
      </w:r>
      <w:r w:rsidRPr="00C87E82">
        <w:rPr>
          <w:lang w:val="uk-UA"/>
        </w:rPr>
        <w:t>ми ресурсами та провадять ризиковану й агресивну політику на фондовому ринку.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jc w:val="center"/>
        <w:rPr>
          <w:b/>
          <w:lang w:val="uk-UA"/>
        </w:rPr>
      </w:pP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jc w:val="center"/>
        <w:rPr>
          <w:b/>
          <w:lang w:val="uk-UA"/>
        </w:rPr>
      </w:pPr>
      <w:r w:rsidRPr="00DF2639">
        <w:rPr>
          <w:b/>
        </w:rPr>
        <w:t>Аналіз кривої дохідності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t xml:space="preserve">Крива дохідності — це графічне зображення залежності між </w:t>
      </w:r>
      <w:proofErr w:type="gramStart"/>
      <w:r>
        <w:t>р</w:t>
      </w:r>
      <w:proofErr w:type="gramEnd"/>
      <w:r>
        <w:t>івнями дохідності та строками погаш</w:t>
      </w:r>
      <w:r>
        <w:t>ення цінних паперів на пев</w:t>
      </w:r>
      <w:r>
        <w:t>ний момент часу за інших однак</w:t>
      </w:r>
      <w:r>
        <w:t>ових умов, наприклад, у разі од</w:t>
      </w:r>
      <w:r>
        <w:t>накового рівня кредитного ризику</w:t>
      </w:r>
      <w:r>
        <w:t xml:space="preserve">. </w:t>
      </w:r>
      <w:proofErr w:type="gramStart"/>
      <w:r>
        <w:t>На горизонтальній осі х відоб</w:t>
      </w:r>
      <w:r>
        <w:t>ражається тривалість строків о</w:t>
      </w:r>
      <w:r>
        <w:t>бігу цінних паперів, а на верти</w:t>
      </w:r>
      <w:r>
        <w:t xml:space="preserve">кальній осі y — показники дохідності на момент погашення всіх представлених на кривій цінних </w:t>
      </w:r>
      <w:r>
        <w:t>паперів. Вигляд кривих дохіднос</w:t>
      </w:r>
      <w:r>
        <w:t>ті не є постійним, оскільки дохідність цінних паперів змінюється щоденно.</w:t>
      </w:r>
      <w:proofErr w:type="gramEnd"/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proofErr w:type="gramStart"/>
      <w:r>
        <w:t>Р</w:t>
      </w:r>
      <w:proofErr w:type="gramEnd"/>
      <w:r>
        <w:t>івень дохідності на моме</w:t>
      </w:r>
      <w:r>
        <w:t>нт погашення показує різну швид</w:t>
      </w:r>
      <w:r>
        <w:t>кість змін для різних інструментів. Так,</w:t>
      </w:r>
      <w:r>
        <w:t xml:space="preserve"> короткострокові від</w:t>
      </w:r>
      <w:r>
        <w:t>соткові ставки звичайно зростають швидше, ніж довгострокові, але й знижуються швидше в пері</w:t>
      </w:r>
      <w:r>
        <w:t>оди, коли всі ринкові ставки по</w:t>
      </w:r>
      <w:r>
        <w:t>чинають рухатись вниз</w:t>
      </w:r>
      <w:r>
        <w:rPr>
          <w:lang w:val="uk-UA"/>
        </w:rPr>
        <w:t>.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t>Якщо довгострокові відсот</w:t>
      </w:r>
      <w:r>
        <w:t>кові ставки перевищують коротко</w:t>
      </w:r>
      <w:r>
        <w:t>строкові, то крива дохідності має додатний</w:t>
      </w:r>
      <w:r>
        <w:t xml:space="preserve"> нахил, тобто зроста</w:t>
      </w:r>
      <w:proofErr w:type="gramStart"/>
      <w:r>
        <w:t>є</w:t>
      </w:r>
      <w:r>
        <w:t>.</w:t>
      </w:r>
      <w:proofErr w:type="gramEnd"/>
      <w:r>
        <w:t xml:space="preserve"> Це спостерігається в п</w:t>
      </w:r>
      <w:r>
        <w:t>еріоди загального зростання ста</w:t>
      </w:r>
      <w:r>
        <w:t xml:space="preserve">вок, але короткострокові ставки починають зростати з нижчого рівня, ніж довгострокові. 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DF2639">
        <w:rPr>
          <w:lang w:val="uk-UA"/>
        </w:rPr>
        <w:t>Якщо ж короткострокові відсоткові ставки вищі за довгострокові, то крива дохідності має від’ємний нах</w:t>
      </w:r>
      <w:r>
        <w:rPr>
          <w:lang w:val="uk-UA"/>
        </w:rPr>
        <w:t>ил, тобто спадає</w:t>
      </w:r>
      <w:r w:rsidRPr="00DF2639">
        <w:rPr>
          <w:lang w:val="uk-UA"/>
        </w:rPr>
        <w:t xml:space="preserve">. </w:t>
      </w:r>
      <w:r>
        <w:t xml:space="preserve">Така картина </w:t>
      </w:r>
      <w:r>
        <w:lastRenderedPageBreak/>
        <w:t xml:space="preserve">спостерігається в період циклічного </w:t>
      </w:r>
      <w:proofErr w:type="gramStart"/>
      <w:r>
        <w:t>п</w:t>
      </w:r>
      <w:proofErr w:type="gramEnd"/>
      <w:r>
        <w:t>ідйому економіки, а також на ранніх стадіях економічного спаду, коли всі відсоткові ставки знижуються. Горизонтальна форма кривої дохідності о</w:t>
      </w:r>
      <w:r>
        <w:t>знача</w:t>
      </w:r>
      <w:proofErr w:type="gramStart"/>
      <w:r>
        <w:t>є,</w:t>
      </w:r>
      <w:proofErr w:type="gramEnd"/>
      <w:r>
        <w:t xml:space="preserve"> що довго</w:t>
      </w:r>
      <w:r>
        <w:t>строкові та короткострокові ставки перебувають приблизно на одному рівні, тобто інвестор од</w:t>
      </w:r>
      <w:r>
        <w:t>ержує однакову дохідність на мо</w:t>
      </w:r>
      <w:r>
        <w:t>мент погашення незалежно від строку погашення цінних паперів, в які інвестовано кошти.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DF2639">
        <w:rPr>
          <w:lang w:val="uk-UA"/>
        </w:rPr>
        <w:t>Аналіз форми та параметрів кривої дохідності дає змогу вирішити низку завдань в процесі прийнятт</w:t>
      </w:r>
      <w:r>
        <w:rPr>
          <w:lang w:val="uk-UA"/>
        </w:rPr>
        <w:t>я інвестиційних рішень, а саме: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DF2639">
        <w:rPr>
          <w:lang w:val="uk-UA"/>
        </w:rPr>
        <w:t xml:space="preserve"> скласти прогноз майбутніх змін відсоткових ставок; 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DF2639">
        <w:rPr>
          <w:lang w:val="uk-UA"/>
        </w:rPr>
        <w:t xml:space="preserve"> виявити цінні папери із завище</w:t>
      </w:r>
      <w:r>
        <w:rPr>
          <w:lang w:val="uk-UA"/>
        </w:rPr>
        <w:t>ною або заниженою ринковою оцін</w:t>
      </w:r>
      <w:r w:rsidRPr="00DF2639">
        <w:rPr>
          <w:lang w:val="uk-UA"/>
        </w:rPr>
        <w:t xml:space="preserve">кою; 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DF2639">
        <w:rPr>
          <w:lang w:val="uk-UA"/>
        </w:rPr>
        <w:t xml:space="preserve"> оцінити можливі переваг</w:t>
      </w:r>
      <w:r>
        <w:rPr>
          <w:lang w:val="uk-UA"/>
        </w:rPr>
        <w:t>и та недоліки подовження чи ско</w:t>
      </w:r>
      <w:r w:rsidRPr="00DF2639">
        <w:rPr>
          <w:lang w:val="uk-UA"/>
        </w:rPr>
        <w:t xml:space="preserve">рочення інвестиційного горизонту портфеля; 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DF2639">
        <w:rPr>
          <w:lang w:val="uk-UA"/>
        </w:rPr>
        <w:t xml:space="preserve"> надати допомогу для вирішення дилеми «дохідність-ризик».</w:t>
      </w:r>
    </w:p>
    <w:p w:rsidR="00937DA2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DF2639">
        <w:rPr>
          <w:lang w:val="uk-UA"/>
        </w:rPr>
        <w:t>Додатний нахил кривої д</w:t>
      </w:r>
      <w:r w:rsidR="00937DA2">
        <w:rPr>
          <w:lang w:val="uk-UA"/>
        </w:rPr>
        <w:t>охідності відображає середньори</w:t>
      </w:r>
      <w:r w:rsidRPr="00DF2639">
        <w:rPr>
          <w:lang w:val="uk-UA"/>
        </w:rPr>
        <w:t>нкове очікування того, що рівень майбутніх коротко</w:t>
      </w:r>
      <w:r w:rsidRPr="00DF2639">
        <w:rPr>
          <w:lang w:val="uk-UA"/>
        </w:rPr>
        <w:t xml:space="preserve">строкових ставок буде вищим за поточні значення. У цьому разі інвестори прогнозують підвищення ставок і віддають перевагу короткостроковим цінним паперам за рахунок зниження частки довгострокових інструментів, які завдадуть найбільших капітальних збитків у разі перетворення таких прогнозів у реальність. </w:t>
      </w:r>
      <w:r>
        <w:t>Менеджер має уникати придбання довгострокових цінних па</w:t>
      </w:r>
      <w:r w:rsidR="00937DA2">
        <w:t xml:space="preserve">перів, оскільки </w:t>
      </w:r>
      <w:proofErr w:type="gramStart"/>
      <w:r w:rsidR="00937DA2">
        <w:t>п</w:t>
      </w:r>
      <w:proofErr w:type="gramEnd"/>
      <w:r w:rsidR="00937DA2">
        <w:t>ідвищення коро</w:t>
      </w:r>
      <w:r>
        <w:t xml:space="preserve">ткострокових ставок призводить до зниження цін на цінні папери, а це в майбутньому завдасть збитків. </w:t>
      </w:r>
    </w:p>
    <w:p w:rsidR="00DF2639" w:rsidRDefault="00DF2639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t xml:space="preserve">Навпаки, якщо </w:t>
      </w:r>
      <w:proofErr w:type="gramStart"/>
      <w:r>
        <w:t>крива</w:t>
      </w:r>
      <w:proofErr w:type="gramEnd"/>
      <w:r>
        <w:t xml:space="preserve"> дохідності має від’ємний нахил, то це вказує на майбутнє зниження короткострокових ставок. У цьому випадку менеджменту нео</w:t>
      </w:r>
      <w:r w:rsidR="00937DA2">
        <w:t>бхідно розглянути можливість по</w:t>
      </w:r>
      <w:r>
        <w:t>довження інвестиційного горизонту цінних паперів і придбання довгострокових інструментів, оскільки зниження ставок обіцяє перспективу значних капітальних прибуткі</w:t>
      </w:r>
      <w:proofErr w:type="gramStart"/>
      <w:r>
        <w:t>в</w:t>
      </w:r>
      <w:proofErr w:type="gramEnd"/>
      <w:r>
        <w:t xml:space="preserve"> за цінними паперами з порівняно тривалими періодами обігу</w:t>
      </w:r>
      <w:r w:rsidR="00937DA2">
        <w:rPr>
          <w:lang w:val="uk-UA"/>
        </w:rPr>
        <w:t>.</w:t>
      </w:r>
    </w:p>
    <w:p w:rsidR="00937DA2" w:rsidRDefault="00937DA2" w:rsidP="00DF2639">
      <w:pPr>
        <w:tabs>
          <w:tab w:val="left" w:pos="1035"/>
        </w:tabs>
        <w:spacing w:line="240" w:lineRule="auto"/>
        <w:ind w:firstLine="709"/>
        <w:rPr>
          <w:lang w:val="uk-UA"/>
        </w:rPr>
      </w:pPr>
    </w:p>
    <w:p w:rsidR="00937DA2" w:rsidRDefault="00937DA2" w:rsidP="00937DA2">
      <w:pPr>
        <w:tabs>
          <w:tab w:val="left" w:pos="1035"/>
        </w:tabs>
        <w:spacing w:line="240" w:lineRule="auto"/>
        <w:ind w:firstLine="709"/>
        <w:jc w:val="center"/>
        <w:rPr>
          <w:b/>
          <w:lang w:val="uk-UA"/>
        </w:rPr>
      </w:pPr>
      <w:r w:rsidRPr="00937DA2">
        <w:rPr>
          <w:b/>
        </w:rPr>
        <w:t>Аналіз дюрації</w:t>
      </w:r>
    </w:p>
    <w:p w:rsidR="00B6171A" w:rsidRDefault="00B6171A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t>Середньозважений строк погашення (дюрація) — це міра приведеної вартості фінансовог</w:t>
      </w:r>
      <w:r>
        <w:t>о інструмента, що показує серед</w:t>
      </w:r>
      <w:r>
        <w:t>ню тривалість періоду, протягом якого всі потоки доході</w:t>
      </w:r>
      <w:proofErr w:type="gramStart"/>
      <w:r>
        <w:t>в</w:t>
      </w:r>
      <w:proofErr w:type="gramEnd"/>
      <w:r>
        <w:t xml:space="preserve"> за цим інструментом надходять до інвестора. </w:t>
      </w:r>
    </w:p>
    <w:p w:rsidR="00B6171A" w:rsidRDefault="00B6171A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t xml:space="preserve">Дюрація показує період окупності фінансового інструмента, тобто час, через який банк зможе повернути кошти, витрачені на його придбання. </w:t>
      </w:r>
    </w:p>
    <w:p w:rsidR="00B6171A" w:rsidRDefault="00B6171A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B6171A">
        <w:rPr>
          <w:lang w:val="uk-UA"/>
        </w:rPr>
        <w:t xml:space="preserve">Показник дюрації може характеризувати будь-які фінансові інструменти: окремий цінний папір, портфель цінних паперів, банківський кредит, сукупний динамічний баланс банку. </w:t>
      </w:r>
      <w:r>
        <w:t>Проте найчастіше дюрація використо</w:t>
      </w:r>
      <w:r>
        <w:t>вується для аналізу довгостроко</w:t>
      </w:r>
      <w:r>
        <w:t xml:space="preserve">вих фінансових інструментів, а саме боргових цінних паперів з тривалими термінами обігу. </w:t>
      </w:r>
    </w:p>
    <w:p w:rsidR="00937DA2" w:rsidRDefault="00B6171A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B6171A">
        <w:rPr>
          <w:lang w:val="uk-UA"/>
        </w:rPr>
        <w:t>Дюрація цінного папера обчислюється за формулою Ф. Макуолі і є відношенням приведеної в</w:t>
      </w:r>
      <w:r>
        <w:rPr>
          <w:lang w:val="uk-UA"/>
        </w:rPr>
        <w:t>артості суми всіх очікуваних по</w:t>
      </w:r>
      <w:r w:rsidRPr="00B6171A">
        <w:rPr>
          <w:lang w:val="uk-UA"/>
        </w:rPr>
        <w:t>токів доходів за цінним папер</w:t>
      </w:r>
      <w:r>
        <w:rPr>
          <w:lang w:val="uk-UA"/>
        </w:rPr>
        <w:t>ом, зважених за часом надходжен</w:t>
      </w:r>
      <w:r w:rsidRPr="00B6171A">
        <w:rPr>
          <w:lang w:val="uk-UA"/>
        </w:rPr>
        <w:t>ня, до його ринкової ціни:</w:t>
      </w:r>
    </w:p>
    <w:p w:rsidR="00B6171A" w:rsidRPr="00B6171A" w:rsidRDefault="00B6171A" w:rsidP="00937DA2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w:lastRenderedPageBreak/>
            <m:t xml:space="preserve">D=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uk-UA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uk-UA"/>
                        </w:rPr>
                        <m:t>×i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uk-U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uk-UA"/>
                                </w:rPr>
                                <m:t>1+d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i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uk-UA"/>
                        </w:rPr>
                        <m:t>N×n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uk-U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uk-UA"/>
                                </w:rPr>
                                <m:t>1+d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n</m:t>
                          </m:r>
                        </m:sup>
                      </m:sSup>
                    </m:den>
                  </m:f>
                </m:e>
              </m:nary>
            </m:num>
            <m:den>
              <m:r>
                <w:rPr>
                  <w:rFonts w:ascii="Cambria Math" w:hAnsi="Cambria Math"/>
                  <w:lang w:val="uk-UA"/>
                </w:rPr>
                <m:t>p</m:t>
              </m:r>
            </m:den>
          </m:f>
          <m:r>
            <w:rPr>
              <w:rFonts w:ascii="Cambria Math" w:hAnsi="Cambria Math"/>
              <w:lang w:val="uk-UA"/>
            </w:rPr>
            <m:t xml:space="preserve"> ,                                         (6.20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B6171A" w:rsidRDefault="00B6171A" w:rsidP="00937DA2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</w:p>
    <w:p w:rsidR="00B6171A" w:rsidRDefault="00B6171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де</w:t>
      </w:r>
      <w:r w:rsidRPr="00B6171A">
        <w:rPr>
          <w:lang w:val="en-US"/>
        </w:rPr>
        <w:t xml:space="preserve"> D — </w:t>
      </w:r>
      <w:r>
        <w:t>дюрація</w:t>
      </w:r>
      <w:r w:rsidRPr="00B6171A">
        <w:rPr>
          <w:lang w:val="en-US"/>
        </w:rPr>
        <w:t xml:space="preserve"> </w:t>
      </w:r>
      <w:r>
        <w:t>цінного</w:t>
      </w:r>
      <w:r w:rsidRPr="00B6171A">
        <w:rPr>
          <w:lang w:val="en-US"/>
        </w:rPr>
        <w:t xml:space="preserve"> </w:t>
      </w:r>
      <w:r>
        <w:t>папера</w:t>
      </w:r>
      <w:r w:rsidRPr="00B6171A">
        <w:rPr>
          <w:lang w:val="en-US"/>
        </w:rPr>
        <w:t xml:space="preserve"> (</w:t>
      </w:r>
      <w:r>
        <w:t>роки</w:t>
      </w:r>
      <w:r w:rsidRPr="00B6171A">
        <w:rPr>
          <w:lang w:val="en-US"/>
        </w:rPr>
        <w:t xml:space="preserve">, </w:t>
      </w:r>
      <w:proofErr w:type="gramStart"/>
      <w:r>
        <w:t>м</w:t>
      </w:r>
      <w:proofErr w:type="gramEnd"/>
      <w:r>
        <w:t>ісяці</w:t>
      </w:r>
      <w:r w:rsidRPr="00B6171A">
        <w:rPr>
          <w:lang w:val="en-US"/>
        </w:rPr>
        <w:t xml:space="preserve">); </w:t>
      </w:r>
    </w:p>
    <w:p w:rsidR="00B6171A" w:rsidRPr="00B6171A" w:rsidRDefault="00B6171A" w:rsidP="00937DA2">
      <w:pPr>
        <w:tabs>
          <w:tab w:val="left" w:pos="1035"/>
        </w:tabs>
        <w:spacing w:line="240" w:lineRule="auto"/>
        <w:ind w:firstLine="709"/>
      </w:pPr>
      <w:r w:rsidRPr="00B6171A">
        <w:rPr>
          <w:lang w:val="en-US"/>
        </w:rPr>
        <w:t>Si</w:t>
      </w:r>
      <w:r w:rsidRPr="00B6171A">
        <w:t xml:space="preserve"> — </w:t>
      </w:r>
      <w:r>
        <w:t>очікувані</w:t>
      </w:r>
      <w:r w:rsidRPr="00B6171A">
        <w:t xml:space="preserve"> </w:t>
      </w:r>
      <w:r>
        <w:t>пото</w:t>
      </w:r>
      <w:r w:rsidRPr="00B6171A">
        <w:t/>
      </w:r>
      <w:r>
        <w:t>ки</w:t>
      </w:r>
      <w:r w:rsidRPr="00B6171A">
        <w:t xml:space="preserve"> </w:t>
      </w:r>
      <w:r>
        <w:t>процентних</w:t>
      </w:r>
      <w:r w:rsidRPr="00B6171A">
        <w:t xml:space="preserve"> </w:t>
      </w:r>
      <w:r>
        <w:t>доходів</w:t>
      </w:r>
      <w:r w:rsidRPr="00B6171A">
        <w:t xml:space="preserve"> </w:t>
      </w:r>
      <w:r>
        <w:t>в</w:t>
      </w:r>
      <w:r w:rsidRPr="00B6171A">
        <w:t xml:space="preserve"> </w:t>
      </w:r>
      <w:r>
        <w:t>і</w:t>
      </w:r>
      <w:r w:rsidRPr="00B6171A">
        <w:t>-</w:t>
      </w:r>
      <w:r>
        <w:t>й</w:t>
      </w:r>
      <w:r w:rsidRPr="00B6171A">
        <w:t xml:space="preserve"> </w:t>
      </w:r>
      <w:r>
        <w:t>період</w:t>
      </w:r>
      <w:r w:rsidRPr="00B6171A">
        <w:t xml:space="preserve"> (</w:t>
      </w:r>
      <w:r w:rsidRPr="00B6171A">
        <w:rPr>
          <w:lang w:val="en-US"/>
        </w:rPr>
        <w:t>i</w:t>
      </w:r>
      <w:r w:rsidRPr="00B6171A">
        <w:t xml:space="preserve">=1, </w:t>
      </w:r>
      <w:r w:rsidRPr="00B6171A">
        <w:rPr>
          <w:lang w:val="en-US"/>
        </w:rPr>
        <w:t>n</w:t>
      </w:r>
      <w:r>
        <w:t>)</w:t>
      </w:r>
      <w:r w:rsidRPr="00B6171A">
        <w:t xml:space="preserve">; </w:t>
      </w:r>
    </w:p>
    <w:p w:rsidR="00B6171A" w:rsidRPr="00B6171A" w:rsidRDefault="00B6171A" w:rsidP="00937DA2">
      <w:pPr>
        <w:tabs>
          <w:tab w:val="left" w:pos="1035"/>
        </w:tabs>
        <w:spacing w:line="240" w:lineRule="auto"/>
        <w:ind w:firstLine="709"/>
      </w:pPr>
      <w:r>
        <w:t>і</w:t>
      </w:r>
      <w:r w:rsidRPr="00B6171A">
        <w:t xml:space="preserve"> — </w:t>
      </w:r>
      <w:r>
        <w:t>періоди</w:t>
      </w:r>
      <w:r w:rsidRPr="00B6171A">
        <w:t xml:space="preserve"> </w:t>
      </w:r>
      <w:r>
        <w:t>проведення</w:t>
      </w:r>
      <w:r w:rsidRPr="00B6171A">
        <w:t xml:space="preserve"> </w:t>
      </w:r>
      <w:r>
        <w:t>виплат</w:t>
      </w:r>
      <w:r w:rsidRPr="00B6171A">
        <w:t>;</w:t>
      </w:r>
    </w:p>
    <w:p w:rsidR="00B6171A" w:rsidRPr="00B6171A" w:rsidRDefault="00B6171A" w:rsidP="00937DA2">
      <w:pPr>
        <w:tabs>
          <w:tab w:val="left" w:pos="1035"/>
        </w:tabs>
        <w:spacing w:line="240" w:lineRule="auto"/>
        <w:ind w:firstLine="709"/>
      </w:pPr>
      <w:proofErr w:type="gramStart"/>
      <w:r>
        <w:rPr>
          <w:lang w:val="en-US"/>
        </w:rPr>
        <w:t>n</w:t>
      </w:r>
      <w:proofErr w:type="gramEnd"/>
      <w:r w:rsidRPr="00B6171A">
        <w:t xml:space="preserve"> — </w:t>
      </w:r>
      <w:r>
        <w:t>загальна</w:t>
      </w:r>
      <w:r w:rsidRPr="00B6171A">
        <w:t xml:space="preserve"> </w:t>
      </w:r>
      <w:r>
        <w:t>кількість</w:t>
      </w:r>
      <w:r w:rsidRPr="00B6171A">
        <w:t xml:space="preserve"> </w:t>
      </w:r>
      <w:r>
        <w:t>періодів</w:t>
      </w:r>
      <w:r w:rsidRPr="00B6171A">
        <w:t xml:space="preserve">; </w:t>
      </w:r>
    </w:p>
    <w:p w:rsidR="00B6171A" w:rsidRPr="00B6171A" w:rsidRDefault="00B6171A" w:rsidP="00937DA2">
      <w:pPr>
        <w:tabs>
          <w:tab w:val="left" w:pos="1035"/>
        </w:tabs>
        <w:spacing w:line="240" w:lineRule="auto"/>
        <w:ind w:firstLine="709"/>
      </w:pPr>
      <w:proofErr w:type="gramStart"/>
      <w:r w:rsidRPr="00B6171A">
        <w:rPr>
          <w:lang w:val="en-US"/>
        </w:rPr>
        <w:t>d</w:t>
      </w:r>
      <w:proofErr w:type="gramEnd"/>
      <w:r w:rsidRPr="00B6171A">
        <w:t xml:space="preserve"> — </w:t>
      </w:r>
      <w:r>
        <w:t>ставка</w:t>
      </w:r>
      <w:r w:rsidRPr="00B6171A">
        <w:t xml:space="preserve"> </w:t>
      </w:r>
      <w:r>
        <w:t>дисконтування</w:t>
      </w:r>
      <w:r w:rsidRPr="00B6171A">
        <w:t xml:space="preserve">; </w:t>
      </w:r>
    </w:p>
    <w:p w:rsidR="00B6171A" w:rsidRPr="00B6171A" w:rsidRDefault="00B6171A" w:rsidP="00937DA2">
      <w:pPr>
        <w:tabs>
          <w:tab w:val="left" w:pos="1035"/>
        </w:tabs>
        <w:spacing w:line="240" w:lineRule="auto"/>
        <w:ind w:firstLine="709"/>
      </w:pPr>
      <w:r w:rsidRPr="00B6171A">
        <w:rPr>
          <w:lang w:val="en-US"/>
        </w:rPr>
        <w:t>N</w:t>
      </w:r>
      <w:r w:rsidRPr="00B6171A">
        <w:t xml:space="preserve"> — </w:t>
      </w:r>
      <w:r>
        <w:t>номінальна</w:t>
      </w:r>
      <w:r w:rsidRPr="00B6171A">
        <w:t xml:space="preserve"> </w:t>
      </w:r>
      <w:r>
        <w:t>сума</w:t>
      </w:r>
      <w:r w:rsidRPr="00B6171A">
        <w:t xml:space="preserve"> </w:t>
      </w:r>
      <w:r>
        <w:t>боргу</w:t>
      </w:r>
      <w:r w:rsidRPr="00B6171A">
        <w:t xml:space="preserve">; </w:t>
      </w:r>
    </w:p>
    <w:p w:rsidR="00B6171A" w:rsidRDefault="00B6171A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proofErr w:type="gramStart"/>
      <w:r>
        <w:t>р</w:t>
      </w:r>
      <w:proofErr w:type="gramEnd"/>
      <w:r w:rsidRPr="00B6171A">
        <w:t xml:space="preserve"> — </w:t>
      </w:r>
      <w:r>
        <w:t>ринкова</w:t>
      </w:r>
      <w:r w:rsidRPr="00B6171A">
        <w:t xml:space="preserve"> </w:t>
      </w:r>
      <w:r>
        <w:t>ціна</w:t>
      </w:r>
      <w:r w:rsidRPr="00B6171A">
        <w:t xml:space="preserve"> </w:t>
      </w:r>
      <w:r>
        <w:t>цінного</w:t>
      </w:r>
      <w:r w:rsidRPr="00B6171A">
        <w:t xml:space="preserve"> </w:t>
      </w:r>
      <w:r>
        <w:t>папера</w:t>
      </w:r>
      <w:r w:rsidRPr="00B6171A">
        <w:t>.</w:t>
      </w:r>
    </w:p>
    <w:p w:rsidR="00271677" w:rsidRDefault="00271677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</w:p>
    <w:p w:rsidR="00271677" w:rsidRDefault="00271677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271677">
        <w:rPr>
          <w:lang w:val="uk-UA"/>
        </w:rPr>
        <w:t>Показник середньозваженого строку погашення (дюрації) використовується в інвестиційному менеджменті в багатьох прийомах і методах: для прог</w:t>
      </w:r>
      <w:r>
        <w:rPr>
          <w:lang w:val="uk-UA"/>
        </w:rPr>
        <w:t>нозного аналізу змін у ціні цін</w:t>
      </w:r>
      <w:r w:rsidRPr="00271677">
        <w:rPr>
          <w:lang w:val="uk-UA"/>
        </w:rPr>
        <w:t>ного папера протягом періоду його зберігання; для зниження відсоткового ризику банку за допомогою імунізації балансу; для управління активами та пасивами банку.</w:t>
      </w:r>
    </w:p>
    <w:p w:rsidR="00271677" w:rsidRDefault="00271677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 w:rsidRPr="00271677">
        <w:rPr>
          <w:lang w:val="uk-UA"/>
        </w:rPr>
        <w:t xml:space="preserve"> </w:t>
      </w:r>
      <w:r w:rsidRPr="00271677">
        <w:rPr>
          <w:b/>
          <w:lang w:val="uk-UA"/>
        </w:rPr>
        <w:t>Метод передбачення цінових змін</w:t>
      </w:r>
      <w:r w:rsidRPr="00271677">
        <w:rPr>
          <w:lang w:val="uk-UA"/>
        </w:rPr>
        <w:t xml:space="preserve"> базується на положенні, що між змінами ринкових відсо</w:t>
      </w:r>
      <w:r>
        <w:rPr>
          <w:lang w:val="uk-UA"/>
        </w:rPr>
        <w:t>ткових ставок і ціною цінних па</w:t>
      </w:r>
      <w:r w:rsidRPr="00271677">
        <w:rPr>
          <w:lang w:val="uk-UA"/>
        </w:rPr>
        <w:t xml:space="preserve">перів, вираженою у відсотках, існує лінійна залежність. </w:t>
      </w:r>
      <w:r>
        <w:t>Для ха</w:t>
      </w:r>
      <w:r>
        <w:t>рактеристики цієї залежності використовують поняття цінової еластичності цінного папера, як</w:t>
      </w:r>
      <w:r>
        <w:t>а показує зміну його ціни у від</w:t>
      </w:r>
      <w:r>
        <w:t>сотковому вираженн</w:t>
      </w:r>
      <w:r>
        <w:t>і за зміни ринкових ставок на 1% і розрахо</w:t>
      </w:r>
      <w:r>
        <w:t>вується за формулою:</w:t>
      </w:r>
    </w:p>
    <w:p w:rsidR="00271677" w:rsidRPr="00271677" w:rsidRDefault="00271677" w:rsidP="00937DA2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 xml:space="preserve">e=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∆p</m:t>
              </m:r>
            </m:num>
            <m:den>
              <m:r>
                <w:rPr>
                  <w:rFonts w:ascii="Cambria Math" w:hAnsi="Cambria Math"/>
                  <w:lang w:val="en-US"/>
                </w:rPr>
                <m:t>p</m:t>
              </m:r>
            </m:den>
          </m:f>
          <m:r>
            <w:rPr>
              <w:rFonts w:ascii="Cambria Math" w:hAnsi="Cambria Math"/>
              <w:lang w:val="en-US"/>
            </w:rPr>
            <m:t>÷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∆r</m:t>
              </m:r>
            </m:num>
            <m:den>
              <m:r>
                <w:rPr>
                  <w:rFonts w:ascii="Cambria Math" w:hAnsi="Cambria Math"/>
                  <w:lang w:val="en-US"/>
                </w:rPr>
                <m:t>r</m:t>
              </m:r>
            </m:den>
          </m:f>
          <m:r>
            <w:rPr>
              <w:rFonts w:ascii="Cambria Math" w:hAnsi="Cambria Math"/>
              <w:lang w:val="en-US"/>
            </w:rPr>
            <m:t>,                                                             (6.21)</m:t>
          </m:r>
        </m:oMath>
      </m:oMathPara>
    </w:p>
    <w:p w:rsidR="00271677" w:rsidRDefault="00271677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proofErr w:type="gramStart"/>
      <w:r w:rsidRPr="00271677">
        <w:rPr>
          <w:lang w:val="en-US"/>
        </w:rPr>
        <w:t>e</w:t>
      </w:r>
      <w:proofErr w:type="gramEnd"/>
      <w:r w:rsidRPr="00271677">
        <w:rPr>
          <w:lang w:val="en-US"/>
        </w:rPr>
        <w:t xml:space="preserve"> — </w:t>
      </w:r>
      <w:r>
        <w:t>коефіцієнт</w:t>
      </w:r>
      <w:r w:rsidRPr="00271677">
        <w:rPr>
          <w:lang w:val="en-US"/>
        </w:rPr>
        <w:t xml:space="preserve"> </w:t>
      </w:r>
      <w:r>
        <w:t>еластичності</w:t>
      </w:r>
      <w:r w:rsidRPr="00271677">
        <w:rPr>
          <w:lang w:val="en-US"/>
        </w:rPr>
        <w:t xml:space="preserve">; </w:t>
      </w:r>
      <w:r>
        <w:sym w:font="Symbol" w:char="F044"/>
      </w:r>
      <w:r>
        <w:t>р</w:t>
      </w:r>
      <w:r w:rsidRPr="00271677">
        <w:rPr>
          <w:lang w:val="en-US"/>
        </w:rPr>
        <w:t xml:space="preserve"> — </w:t>
      </w:r>
      <w:r>
        <w:t>зміна</w:t>
      </w:r>
      <w:r w:rsidRPr="00271677">
        <w:rPr>
          <w:lang w:val="en-US"/>
        </w:rPr>
        <w:t xml:space="preserve"> </w:t>
      </w:r>
      <w:r>
        <w:t>ринкової</w:t>
      </w:r>
      <w:r w:rsidRPr="00271677">
        <w:rPr>
          <w:lang w:val="en-US"/>
        </w:rPr>
        <w:t xml:space="preserve"> </w:t>
      </w:r>
      <w:r>
        <w:t>ціни</w:t>
      </w:r>
      <w:r w:rsidRPr="00271677">
        <w:rPr>
          <w:lang w:val="en-US"/>
        </w:rPr>
        <w:t xml:space="preserve"> </w:t>
      </w:r>
      <w:r>
        <w:t>цінного</w:t>
      </w:r>
      <w:r w:rsidRPr="00271677">
        <w:rPr>
          <w:lang w:val="en-US"/>
        </w:rPr>
        <w:t xml:space="preserve"> </w:t>
      </w:r>
      <w:r>
        <w:t>папера</w:t>
      </w:r>
      <w:r w:rsidRPr="00271677">
        <w:rPr>
          <w:lang w:val="en-US"/>
        </w:rPr>
        <w:t xml:space="preserve">; </w:t>
      </w:r>
      <w:r>
        <w:t>р</w:t>
      </w:r>
      <w:r w:rsidRPr="00271677">
        <w:rPr>
          <w:lang w:val="en-US"/>
        </w:rPr>
        <w:t xml:space="preserve"> — </w:t>
      </w:r>
      <w:r>
        <w:t>ринкова</w:t>
      </w:r>
      <w:r w:rsidRPr="00271677">
        <w:rPr>
          <w:lang w:val="en-US"/>
        </w:rPr>
        <w:t xml:space="preserve"> </w:t>
      </w:r>
      <w:r>
        <w:t>ціна</w:t>
      </w:r>
      <w:r w:rsidRPr="00271677">
        <w:rPr>
          <w:lang w:val="en-US"/>
        </w:rPr>
        <w:t xml:space="preserve"> </w:t>
      </w:r>
      <w:r>
        <w:t>цінного</w:t>
      </w:r>
      <w:r w:rsidRPr="00271677">
        <w:rPr>
          <w:lang w:val="en-US"/>
        </w:rPr>
        <w:t xml:space="preserve"> </w:t>
      </w:r>
      <w:r>
        <w:t>папера</w:t>
      </w:r>
      <w:r w:rsidRPr="00271677">
        <w:rPr>
          <w:lang w:val="en-US"/>
        </w:rPr>
        <w:t xml:space="preserve">; </w:t>
      </w:r>
      <w:r>
        <w:sym w:font="Symbol" w:char="F044"/>
      </w:r>
      <w:r w:rsidRPr="00271677">
        <w:rPr>
          <w:lang w:val="en-US"/>
        </w:rPr>
        <w:t xml:space="preserve">r — </w:t>
      </w:r>
      <w:r>
        <w:t>зміна</w:t>
      </w:r>
      <w:r w:rsidRPr="00271677">
        <w:rPr>
          <w:lang w:val="en-US"/>
        </w:rPr>
        <w:t xml:space="preserve"> </w:t>
      </w:r>
      <w:r>
        <w:t>ставки</w:t>
      </w:r>
      <w:r w:rsidRPr="00271677">
        <w:rPr>
          <w:lang w:val="en-US"/>
        </w:rPr>
        <w:t xml:space="preserve"> </w:t>
      </w:r>
      <w:r>
        <w:t>відсотка</w:t>
      </w:r>
      <w:r w:rsidRPr="00271677">
        <w:rPr>
          <w:lang w:val="en-US"/>
        </w:rPr>
        <w:t xml:space="preserve">; r — </w:t>
      </w:r>
      <w:r>
        <w:t>поточна</w:t>
      </w:r>
      <w:r w:rsidRPr="00271677">
        <w:rPr>
          <w:lang w:val="en-US"/>
        </w:rPr>
        <w:t xml:space="preserve"> </w:t>
      </w:r>
      <w:r>
        <w:t>відсоткова</w:t>
      </w:r>
      <w:r w:rsidRPr="00271677">
        <w:rPr>
          <w:lang w:val="en-US"/>
        </w:rPr>
        <w:t xml:space="preserve"> </w:t>
      </w:r>
      <w:r>
        <w:t>ставка</w:t>
      </w:r>
      <w:r w:rsidRPr="00271677">
        <w:rPr>
          <w:lang w:val="en-US"/>
        </w:rPr>
        <w:t>.</w:t>
      </w:r>
    </w:p>
    <w:p w:rsidR="00271677" w:rsidRDefault="00271677" w:rsidP="00937DA2">
      <w:pPr>
        <w:tabs>
          <w:tab w:val="left" w:pos="1035"/>
        </w:tabs>
        <w:spacing w:line="240" w:lineRule="auto"/>
        <w:ind w:firstLine="709"/>
        <w:rPr>
          <w:lang w:val="uk-UA"/>
        </w:rPr>
      </w:pPr>
      <w:r>
        <w:t>Вплив відсоткових ставок на зміну ціни цінних паперів, вира</w:t>
      </w:r>
      <w:r>
        <w:rPr>
          <w:lang w:val="uk-UA"/>
        </w:rPr>
        <w:t xml:space="preserve">жену 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відсотках, обчислюють за формулою:</w:t>
      </w:r>
    </w:p>
    <w:p w:rsidR="00271677" w:rsidRPr="00271677" w:rsidRDefault="00271677" w:rsidP="00937DA2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∆p= -D×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∆r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1+r</m:t>
                  </m:r>
                </m:den>
              </m:f>
            </m:e>
          </m:d>
          <m:r>
            <w:rPr>
              <w:rFonts w:ascii="Cambria Math" w:hAnsi="Cambria Math"/>
              <w:lang w:val="uk-UA"/>
            </w:rPr>
            <m:t>×100,                                       (6.22)</m:t>
          </m:r>
        </m:oMath>
      </m:oMathPara>
    </w:p>
    <w:p w:rsidR="00271677" w:rsidRPr="00DB3FCA" w:rsidRDefault="00271677" w:rsidP="00937DA2">
      <w:pPr>
        <w:tabs>
          <w:tab w:val="left" w:pos="1035"/>
        </w:tabs>
        <w:spacing w:line="240" w:lineRule="auto"/>
        <w:ind w:firstLine="709"/>
      </w:pPr>
      <w:r>
        <w:t xml:space="preserve">де </w:t>
      </w:r>
      <w:r>
        <w:sym w:font="Symbol" w:char="F044"/>
      </w:r>
      <w:r>
        <w:t>p</w:t>
      </w:r>
      <w:r>
        <w:t xml:space="preserve"> — зміна ціни цінного папера у відсотковому вираженні.</w:t>
      </w:r>
    </w:p>
    <w:p w:rsidR="00DB3FCA" w:rsidRDefault="00DB3FC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 xml:space="preserve">Порівняльний аналіз цінової </w:t>
      </w:r>
      <w:r>
        <w:t xml:space="preserve">чутливості </w:t>
      </w:r>
      <w:proofErr w:type="gramStart"/>
      <w:r>
        <w:t>р</w:t>
      </w:r>
      <w:proofErr w:type="gramEnd"/>
      <w:r>
        <w:t>ізних фінансових ін</w:t>
      </w:r>
      <w:r>
        <w:t>струментів дає змогу обрати сам</w:t>
      </w:r>
      <w:r>
        <w:t>е ті, які максимально відповіда</w:t>
      </w:r>
      <w:r>
        <w:t>ють стратегії конкретного банку.</w:t>
      </w:r>
    </w:p>
    <w:p w:rsidR="00DB3FCA" w:rsidRDefault="00DB3FC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 w:rsidRPr="00DB3FCA">
        <w:rPr>
          <w:b/>
        </w:rPr>
        <w:t>Метод</w:t>
      </w:r>
      <w:r w:rsidRPr="00DB3FCA">
        <w:rPr>
          <w:b/>
          <w:lang w:val="en-US"/>
        </w:rPr>
        <w:t xml:space="preserve"> </w:t>
      </w:r>
      <w:r w:rsidRPr="00DB3FCA">
        <w:rPr>
          <w:b/>
        </w:rPr>
        <w:t>управління</w:t>
      </w:r>
      <w:r w:rsidRPr="00DB3FCA">
        <w:rPr>
          <w:b/>
          <w:lang w:val="en-US"/>
        </w:rPr>
        <w:t xml:space="preserve"> </w:t>
      </w:r>
      <w:r w:rsidRPr="00DB3FCA">
        <w:rPr>
          <w:b/>
        </w:rPr>
        <w:t>відсотковим</w:t>
      </w:r>
      <w:r w:rsidRPr="00DB3FCA">
        <w:rPr>
          <w:b/>
          <w:lang w:val="en-US"/>
        </w:rPr>
        <w:t xml:space="preserve"> </w:t>
      </w:r>
      <w:r w:rsidRPr="00DB3FCA">
        <w:rPr>
          <w:b/>
        </w:rPr>
        <w:t>ризиком</w:t>
      </w:r>
      <w:r w:rsidRPr="00DB3FCA">
        <w:rPr>
          <w:lang w:val="en-US"/>
        </w:rPr>
        <w:t xml:space="preserve"> </w:t>
      </w:r>
      <w:r>
        <w:t>за</w:t>
      </w:r>
      <w:r w:rsidRPr="00DB3FCA">
        <w:rPr>
          <w:lang w:val="en-US"/>
        </w:rPr>
        <w:t xml:space="preserve"> </w:t>
      </w:r>
      <w:r>
        <w:t>допомогою</w:t>
      </w:r>
      <w:r w:rsidRPr="00DB3FCA">
        <w:rPr>
          <w:lang w:val="en-US"/>
        </w:rPr>
        <w:t xml:space="preserve"> </w:t>
      </w:r>
      <w:r>
        <w:t>дюрації</w:t>
      </w:r>
      <w:r w:rsidRPr="00DB3FCA">
        <w:rPr>
          <w:lang w:val="en-US"/>
        </w:rPr>
        <w:t xml:space="preserve"> </w:t>
      </w:r>
      <w:r>
        <w:t>полягає</w:t>
      </w:r>
      <w:r w:rsidRPr="00DB3FCA">
        <w:rPr>
          <w:lang w:val="en-US"/>
        </w:rPr>
        <w:t xml:space="preserve"> </w:t>
      </w:r>
      <w:r>
        <w:t>в</w:t>
      </w:r>
      <w:r w:rsidRPr="00DB3FCA">
        <w:rPr>
          <w:lang w:val="en-US"/>
        </w:rPr>
        <w:t xml:space="preserve"> </w:t>
      </w:r>
      <w:r>
        <w:t>мінімізації</w:t>
      </w:r>
      <w:r w:rsidRPr="00DB3FCA">
        <w:rPr>
          <w:lang w:val="en-US"/>
        </w:rPr>
        <w:t xml:space="preserve"> </w:t>
      </w:r>
      <w:r>
        <w:t>зниження</w:t>
      </w:r>
      <w:r w:rsidRPr="00DB3FCA">
        <w:rPr>
          <w:lang w:val="en-US"/>
        </w:rPr>
        <w:t xml:space="preserve"> </w:t>
      </w:r>
      <w:r>
        <w:t>доходів</w:t>
      </w:r>
      <w:r w:rsidRPr="00DB3FCA">
        <w:rPr>
          <w:lang w:val="en-US"/>
        </w:rPr>
        <w:t xml:space="preserve"> </w:t>
      </w:r>
      <w:r>
        <w:t>банку</w:t>
      </w:r>
      <w:r w:rsidRPr="00DB3FCA">
        <w:rPr>
          <w:lang w:val="en-US"/>
        </w:rPr>
        <w:t xml:space="preserve">, </w:t>
      </w:r>
      <w:r>
        <w:t>які</w:t>
      </w:r>
      <w:r w:rsidRPr="00DB3FCA">
        <w:rPr>
          <w:lang w:val="en-US"/>
        </w:rPr>
        <w:t xml:space="preserve"> </w:t>
      </w:r>
      <w:r>
        <w:t>можуть</w:t>
      </w:r>
      <w:r w:rsidRPr="00DB3FCA">
        <w:rPr>
          <w:lang w:val="en-US"/>
        </w:rPr>
        <w:t xml:space="preserve"> </w:t>
      </w:r>
      <w:r>
        <w:t>виникнути</w:t>
      </w:r>
      <w:r w:rsidRPr="00DB3FCA">
        <w:rPr>
          <w:lang w:val="en-US"/>
        </w:rPr>
        <w:t xml:space="preserve"> </w:t>
      </w:r>
      <w:r>
        <w:t>через</w:t>
      </w:r>
      <w:r w:rsidRPr="00DB3FCA">
        <w:rPr>
          <w:lang w:val="en-US"/>
        </w:rPr>
        <w:t xml:space="preserve"> </w:t>
      </w:r>
      <w:r>
        <w:t>зміни</w:t>
      </w:r>
      <w:r w:rsidRPr="00DB3FCA">
        <w:rPr>
          <w:lang w:val="en-US"/>
        </w:rPr>
        <w:t xml:space="preserve"> </w:t>
      </w:r>
      <w:r>
        <w:t>відсоткових</w:t>
      </w:r>
      <w:r w:rsidRPr="00DB3FCA">
        <w:rPr>
          <w:lang w:val="en-US"/>
        </w:rPr>
        <w:t xml:space="preserve"> </w:t>
      </w:r>
      <w:r>
        <w:t>ставок</w:t>
      </w:r>
      <w:r w:rsidRPr="00DB3FCA">
        <w:rPr>
          <w:lang w:val="en-US"/>
        </w:rPr>
        <w:t xml:space="preserve"> </w:t>
      </w:r>
      <w:proofErr w:type="gramStart"/>
      <w:r>
        <w:t>на</w:t>
      </w:r>
      <w:proofErr w:type="gramEnd"/>
      <w:r w:rsidRPr="00DB3FCA">
        <w:rPr>
          <w:lang w:val="en-US"/>
        </w:rPr>
        <w:t xml:space="preserve"> </w:t>
      </w:r>
      <w:r>
        <w:t>ринку</w:t>
      </w:r>
      <w:r w:rsidRPr="00DB3FCA">
        <w:rPr>
          <w:lang w:val="en-US"/>
        </w:rPr>
        <w:t xml:space="preserve">. </w:t>
      </w:r>
      <w:r>
        <w:t>У</w:t>
      </w:r>
      <w:r w:rsidRPr="00DB3FCA">
        <w:rPr>
          <w:lang w:val="en-US"/>
        </w:rPr>
        <w:t xml:space="preserve"> </w:t>
      </w:r>
      <w:r>
        <w:t>разі</w:t>
      </w:r>
      <w:r w:rsidRPr="00DB3FCA">
        <w:rPr>
          <w:lang w:val="en-US"/>
        </w:rPr>
        <w:t xml:space="preserve"> </w:t>
      </w:r>
      <w:r>
        <w:t>застосування</w:t>
      </w:r>
      <w:r w:rsidRPr="00DB3FCA">
        <w:rPr>
          <w:lang w:val="en-US"/>
        </w:rPr>
        <w:t xml:space="preserve"> </w:t>
      </w:r>
      <w:r>
        <w:t>цього</w:t>
      </w:r>
      <w:r w:rsidRPr="00DB3FCA">
        <w:rPr>
          <w:lang w:val="en-US"/>
        </w:rPr>
        <w:t xml:space="preserve"> </w:t>
      </w:r>
      <w:r>
        <w:t>методу</w:t>
      </w:r>
      <w:r w:rsidRPr="00DB3FCA">
        <w:rPr>
          <w:lang w:val="en-US"/>
        </w:rPr>
        <w:t xml:space="preserve"> </w:t>
      </w:r>
      <w:r>
        <w:t>використовується</w:t>
      </w:r>
      <w:r w:rsidRPr="00DB3FCA">
        <w:rPr>
          <w:lang w:val="en-US"/>
        </w:rPr>
        <w:t xml:space="preserve"> </w:t>
      </w:r>
      <w:r>
        <w:t>базове</w:t>
      </w:r>
      <w:r w:rsidRPr="00DB3FCA">
        <w:rPr>
          <w:lang w:val="en-US"/>
        </w:rPr>
        <w:t xml:space="preserve"> </w:t>
      </w:r>
      <w:r>
        <w:t>спі</w:t>
      </w:r>
      <w:proofErr w:type="gramStart"/>
      <w:r>
        <w:t>вв</w:t>
      </w:r>
      <w:proofErr w:type="gramEnd"/>
      <w:r>
        <w:t>ідношення</w:t>
      </w:r>
      <w:r w:rsidRPr="00DB3FCA">
        <w:rPr>
          <w:lang w:val="en-US"/>
        </w:rPr>
        <w:t xml:space="preserve">: </w:t>
      </w:r>
      <w:r>
        <w:t>дюрація</w:t>
      </w:r>
      <w:r w:rsidRPr="00DB3FCA">
        <w:rPr>
          <w:lang w:val="en-US"/>
        </w:rPr>
        <w:t xml:space="preserve"> </w:t>
      </w:r>
      <w:r>
        <w:t>цінного</w:t>
      </w:r>
      <w:r w:rsidRPr="00DB3FCA">
        <w:rPr>
          <w:lang w:val="en-US"/>
        </w:rPr>
        <w:t xml:space="preserve"> </w:t>
      </w:r>
      <w:r>
        <w:t>папера</w:t>
      </w:r>
      <w:r w:rsidRPr="00DB3FCA">
        <w:rPr>
          <w:lang w:val="en-US"/>
        </w:rPr>
        <w:t xml:space="preserve"> </w:t>
      </w:r>
      <w:r>
        <w:t>або</w:t>
      </w:r>
      <w:r w:rsidRPr="00DB3FCA">
        <w:rPr>
          <w:lang w:val="en-US"/>
        </w:rPr>
        <w:t xml:space="preserve"> </w:t>
      </w:r>
      <w:r>
        <w:t>портфеля</w:t>
      </w:r>
      <w:r w:rsidRPr="00DB3FCA">
        <w:rPr>
          <w:lang w:val="en-US"/>
        </w:rPr>
        <w:t xml:space="preserve"> </w:t>
      </w:r>
      <w:r>
        <w:t>цінних</w:t>
      </w:r>
      <w:r w:rsidRPr="00DB3FCA">
        <w:rPr>
          <w:lang w:val="en-US"/>
        </w:rPr>
        <w:t xml:space="preserve"> </w:t>
      </w:r>
      <w:r>
        <w:t>паперів</w:t>
      </w:r>
      <w:r w:rsidRPr="00DB3FCA">
        <w:rPr>
          <w:lang w:val="en-US"/>
        </w:rPr>
        <w:t xml:space="preserve"> </w:t>
      </w:r>
      <w:r>
        <w:t>має</w:t>
      </w:r>
      <w:r w:rsidRPr="00DB3FCA">
        <w:rPr>
          <w:lang w:val="en-US"/>
        </w:rPr>
        <w:t xml:space="preserve"> </w:t>
      </w:r>
      <w:r>
        <w:t>дорівнювати</w:t>
      </w:r>
      <w:r w:rsidRPr="00DB3FCA">
        <w:rPr>
          <w:lang w:val="en-US"/>
        </w:rPr>
        <w:t xml:space="preserve"> </w:t>
      </w:r>
      <w:r>
        <w:t>тривалості</w:t>
      </w:r>
      <w:r w:rsidRPr="00DB3FCA">
        <w:rPr>
          <w:lang w:val="en-US"/>
        </w:rPr>
        <w:t xml:space="preserve"> </w:t>
      </w:r>
      <w:r>
        <w:t>планового</w:t>
      </w:r>
      <w:r w:rsidRPr="00DB3FCA">
        <w:rPr>
          <w:lang w:val="en-US"/>
        </w:rPr>
        <w:t xml:space="preserve"> </w:t>
      </w:r>
      <w:r>
        <w:t>періоду</w:t>
      </w:r>
      <w:r w:rsidRPr="00DB3FCA">
        <w:rPr>
          <w:lang w:val="en-US"/>
        </w:rPr>
        <w:t xml:space="preserve"> </w:t>
      </w:r>
      <w:r>
        <w:t>зберігання</w:t>
      </w:r>
      <w:r w:rsidRPr="00DB3FCA">
        <w:rPr>
          <w:lang w:val="en-US"/>
        </w:rPr>
        <w:t xml:space="preserve"> </w:t>
      </w:r>
      <w:r>
        <w:t>банком</w:t>
      </w:r>
      <w:r w:rsidRPr="00DB3FCA">
        <w:rPr>
          <w:lang w:val="en-US"/>
        </w:rPr>
        <w:t xml:space="preserve"> </w:t>
      </w:r>
      <w:r>
        <w:t>цього</w:t>
      </w:r>
      <w:r w:rsidRPr="00DB3FCA">
        <w:rPr>
          <w:lang w:val="en-US"/>
        </w:rPr>
        <w:t xml:space="preserve"> </w:t>
      </w:r>
      <w:r>
        <w:t>цінного</w:t>
      </w:r>
      <w:r w:rsidRPr="00DB3FCA">
        <w:rPr>
          <w:lang w:val="en-US"/>
        </w:rPr>
        <w:t xml:space="preserve"> </w:t>
      </w:r>
      <w:r>
        <w:t>папера</w:t>
      </w:r>
      <w:r w:rsidRPr="00DB3FCA">
        <w:rPr>
          <w:lang w:val="en-US"/>
        </w:rPr>
        <w:t xml:space="preserve"> </w:t>
      </w:r>
      <w:r>
        <w:t>чи</w:t>
      </w:r>
      <w:r w:rsidRPr="00DB3FCA">
        <w:rPr>
          <w:lang w:val="en-US"/>
        </w:rPr>
        <w:t xml:space="preserve"> </w:t>
      </w:r>
      <w:r>
        <w:t>портфеля</w:t>
      </w:r>
      <w:r w:rsidRPr="00DB3FCA">
        <w:rPr>
          <w:lang w:val="en-US"/>
        </w:rPr>
        <w:t xml:space="preserve">. </w:t>
      </w:r>
    </w:p>
    <w:p w:rsidR="00DB3FCA" w:rsidRDefault="00DB3FC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Отже</w:t>
      </w:r>
      <w:r w:rsidRPr="00DB3FCA">
        <w:rPr>
          <w:lang w:val="en-US"/>
        </w:rPr>
        <w:t xml:space="preserve">, </w:t>
      </w:r>
      <w:r>
        <w:t>коли</w:t>
      </w:r>
      <w:r w:rsidRPr="00DB3FCA">
        <w:rPr>
          <w:lang w:val="en-US"/>
        </w:rPr>
        <w:t xml:space="preserve"> </w:t>
      </w:r>
      <w:r>
        <w:t>банк</w:t>
      </w:r>
      <w:r w:rsidRPr="00DB3FCA">
        <w:rPr>
          <w:lang w:val="en-US"/>
        </w:rPr>
        <w:t xml:space="preserve"> </w:t>
      </w:r>
      <w:r>
        <w:t>вважає</w:t>
      </w:r>
      <w:r w:rsidRPr="00DB3FCA">
        <w:rPr>
          <w:lang w:val="en-US"/>
        </w:rPr>
        <w:t xml:space="preserve"> </w:t>
      </w:r>
      <w:r>
        <w:t>за</w:t>
      </w:r>
      <w:r w:rsidRPr="00DB3FCA">
        <w:rPr>
          <w:lang w:val="en-US"/>
        </w:rPr>
        <w:t xml:space="preserve"> </w:t>
      </w:r>
      <w:proofErr w:type="gramStart"/>
      <w:r>
        <w:t>доц</w:t>
      </w:r>
      <w:proofErr w:type="gramEnd"/>
      <w:r>
        <w:t>ільне</w:t>
      </w:r>
      <w:r w:rsidRPr="00DB3FCA">
        <w:rPr>
          <w:lang w:val="en-US"/>
        </w:rPr>
        <w:t xml:space="preserve"> </w:t>
      </w:r>
      <w:r>
        <w:t>не</w:t>
      </w:r>
      <w:r w:rsidRPr="00DB3FCA">
        <w:rPr>
          <w:lang w:val="en-US"/>
        </w:rPr>
        <w:t xml:space="preserve"> </w:t>
      </w:r>
      <w:r>
        <w:t>ризикувати</w:t>
      </w:r>
      <w:r w:rsidRPr="00DB3FCA">
        <w:rPr>
          <w:lang w:val="en-US"/>
        </w:rPr>
        <w:t xml:space="preserve"> </w:t>
      </w:r>
      <w:r>
        <w:t>і</w:t>
      </w:r>
      <w:r w:rsidRPr="00DB3FCA">
        <w:rPr>
          <w:lang w:val="en-US"/>
        </w:rPr>
        <w:t xml:space="preserve"> </w:t>
      </w:r>
      <w:r>
        <w:t>має</w:t>
      </w:r>
      <w:r w:rsidRPr="00DB3FCA">
        <w:rPr>
          <w:lang w:val="en-US"/>
        </w:rPr>
        <w:t xml:space="preserve"> </w:t>
      </w:r>
      <w:r>
        <w:t>на</w:t>
      </w:r>
      <w:r w:rsidRPr="00DB3FCA">
        <w:rPr>
          <w:lang w:val="en-US"/>
        </w:rPr>
        <w:t xml:space="preserve"> </w:t>
      </w:r>
      <w:r>
        <w:t>меті</w:t>
      </w:r>
      <w:r w:rsidRPr="00DB3FCA">
        <w:rPr>
          <w:lang w:val="en-US"/>
        </w:rPr>
        <w:t xml:space="preserve"> </w:t>
      </w:r>
      <w:r>
        <w:t>мінімізацію</w:t>
      </w:r>
      <w:r w:rsidRPr="00DB3FCA">
        <w:rPr>
          <w:lang w:val="en-US"/>
        </w:rPr>
        <w:t xml:space="preserve"> </w:t>
      </w:r>
      <w:r>
        <w:t>варіабельності</w:t>
      </w:r>
      <w:r w:rsidRPr="00DB3FCA">
        <w:rPr>
          <w:lang w:val="en-US"/>
        </w:rPr>
        <w:t xml:space="preserve"> </w:t>
      </w:r>
      <w:r>
        <w:t>доходів</w:t>
      </w:r>
      <w:r w:rsidRPr="00DB3FCA">
        <w:rPr>
          <w:lang w:val="en-US"/>
        </w:rPr>
        <w:t xml:space="preserve"> </w:t>
      </w:r>
      <w:r>
        <w:t>через</w:t>
      </w:r>
      <w:r w:rsidRPr="00DB3FCA">
        <w:rPr>
          <w:lang w:val="en-US"/>
        </w:rPr>
        <w:t xml:space="preserve"> </w:t>
      </w:r>
      <w:r>
        <w:t>зміни</w:t>
      </w:r>
      <w:r w:rsidRPr="00DB3FCA">
        <w:rPr>
          <w:lang w:val="en-US"/>
        </w:rPr>
        <w:t xml:space="preserve"> </w:t>
      </w:r>
      <w:r>
        <w:t>відсоткових</w:t>
      </w:r>
      <w:r w:rsidRPr="00DB3FCA">
        <w:rPr>
          <w:lang w:val="en-US"/>
        </w:rPr>
        <w:t xml:space="preserve"> </w:t>
      </w:r>
      <w:r>
        <w:t>ставок</w:t>
      </w:r>
      <w:r w:rsidRPr="00DB3FCA">
        <w:rPr>
          <w:lang w:val="en-US"/>
        </w:rPr>
        <w:t xml:space="preserve"> </w:t>
      </w:r>
      <w:r>
        <w:t>на</w:t>
      </w:r>
      <w:r w:rsidRPr="00DB3FCA">
        <w:rPr>
          <w:lang w:val="en-US"/>
        </w:rPr>
        <w:t xml:space="preserve"> </w:t>
      </w:r>
      <w:r>
        <w:t>ринку</w:t>
      </w:r>
      <w:r w:rsidRPr="00DB3FCA">
        <w:rPr>
          <w:lang w:val="en-US"/>
        </w:rPr>
        <w:t xml:space="preserve">, </w:t>
      </w:r>
      <w:r>
        <w:t>то</w:t>
      </w:r>
      <w:r w:rsidRPr="00DB3FCA">
        <w:rPr>
          <w:lang w:val="en-US"/>
        </w:rPr>
        <w:t xml:space="preserve"> </w:t>
      </w:r>
      <w:r>
        <w:lastRenderedPageBreak/>
        <w:t>плановий</w:t>
      </w:r>
      <w:r w:rsidRPr="00DB3FCA">
        <w:rPr>
          <w:lang w:val="en-US"/>
        </w:rPr>
        <w:t xml:space="preserve"> </w:t>
      </w:r>
      <w:r>
        <w:t>період</w:t>
      </w:r>
      <w:r w:rsidRPr="00DB3FCA">
        <w:rPr>
          <w:lang w:val="en-US"/>
        </w:rPr>
        <w:t xml:space="preserve"> </w:t>
      </w:r>
      <w:r>
        <w:t>зберігання</w:t>
      </w:r>
      <w:r w:rsidRPr="00DB3FCA">
        <w:rPr>
          <w:lang w:val="en-US"/>
        </w:rPr>
        <w:t xml:space="preserve"> </w:t>
      </w:r>
      <w:r>
        <w:t>банком</w:t>
      </w:r>
      <w:r w:rsidRPr="00DB3FCA">
        <w:rPr>
          <w:lang w:val="en-US"/>
        </w:rPr>
        <w:t xml:space="preserve"> </w:t>
      </w:r>
      <w:r>
        <w:t>цінного</w:t>
      </w:r>
      <w:r w:rsidRPr="00DB3FCA">
        <w:rPr>
          <w:lang w:val="en-US"/>
        </w:rPr>
        <w:t xml:space="preserve"> </w:t>
      </w:r>
      <w:r>
        <w:t>папера</w:t>
      </w:r>
      <w:r w:rsidRPr="00DB3FCA">
        <w:rPr>
          <w:lang w:val="en-US"/>
        </w:rPr>
        <w:t xml:space="preserve"> </w:t>
      </w:r>
      <w:r>
        <w:t>має</w:t>
      </w:r>
      <w:r w:rsidRPr="00DB3FCA">
        <w:rPr>
          <w:lang w:val="en-US"/>
        </w:rPr>
        <w:t xml:space="preserve"> </w:t>
      </w:r>
      <w:r>
        <w:t>дорівнювати</w:t>
      </w:r>
      <w:r w:rsidRPr="00DB3FCA">
        <w:rPr>
          <w:lang w:val="en-US"/>
        </w:rPr>
        <w:t xml:space="preserve"> </w:t>
      </w:r>
      <w:r>
        <w:t>його</w:t>
      </w:r>
      <w:r w:rsidRPr="00DB3FCA">
        <w:rPr>
          <w:lang w:val="en-US"/>
        </w:rPr>
        <w:t xml:space="preserve"> </w:t>
      </w:r>
      <w:r>
        <w:t>дюрації</w:t>
      </w:r>
      <w:r>
        <w:rPr>
          <w:lang w:val="en-US"/>
        </w:rPr>
        <w:t xml:space="preserve">. </w:t>
      </w:r>
      <w:r>
        <w:t>Дюрація</w:t>
      </w:r>
      <w:r w:rsidRPr="00DB3FCA">
        <w:rPr>
          <w:lang w:val="en-US"/>
        </w:rPr>
        <w:t xml:space="preserve"> </w:t>
      </w:r>
      <w:r>
        <w:t>портфеля</w:t>
      </w:r>
      <w:r w:rsidRPr="00DB3FCA">
        <w:rPr>
          <w:lang w:val="en-US"/>
        </w:rPr>
        <w:t xml:space="preserve"> </w:t>
      </w:r>
      <w:r>
        <w:t>обчислюється</w:t>
      </w:r>
      <w:r w:rsidRPr="00DB3FCA">
        <w:rPr>
          <w:lang w:val="en-US"/>
        </w:rPr>
        <w:t xml:space="preserve"> </w:t>
      </w:r>
      <w:r>
        <w:t>за</w:t>
      </w:r>
      <w:r w:rsidRPr="00DB3FCA">
        <w:rPr>
          <w:lang w:val="en-US"/>
        </w:rPr>
        <w:t xml:space="preserve"> </w:t>
      </w:r>
      <w:r>
        <w:t>формулою</w:t>
      </w:r>
      <w:r w:rsidRPr="00DB3FCA">
        <w:rPr>
          <w:lang w:val="en-US"/>
        </w:rPr>
        <w:t>:</w:t>
      </w:r>
    </w:p>
    <w:p w:rsidR="00DB3FCA" w:rsidRPr="00DB3FCA" w:rsidRDefault="00DB3FCA" w:rsidP="00937DA2">
      <w:pPr>
        <w:tabs>
          <w:tab w:val="left" w:pos="1035"/>
        </w:tabs>
        <w:spacing w:line="240" w:lineRule="auto"/>
        <w:ind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m=1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DFI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FI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m=1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FI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lang w:val="en-US"/>
            </w:rPr>
            <m:t>,                                          (6.23)</m:t>
          </m:r>
        </m:oMath>
      </m:oMathPara>
    </w:p>
    <w:p w:rsidR="00DB3FCA" w:rsidRDefault="00DB3FC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де</w:t>
      </w:r>
      <w:r w:rsidRPr="00DB3FCA">
        <w:rPr>
          <w:lang w:val="en-US"/>
        </w:rPr>
        <w:t xml:space="preserve"> D</w:t>
      </w:r>
      <w:r w:rsidRPr="00DB3FCA">
        <w:rPr>
          <w:vertAlign w:val="subscript"/>
          <w:lang w:val="en-US"/>
        </w:rPr>
        <w:t>p</w:t>
      </w:r>
      <w:r w:rsidRPr="00DB3FCA">
        <w:rPr>
          <w:lang w:val="en-US"/>
        </w:rPr>
        <w:t xml:space="preserve"> — </w:t>
      </w:r>
      <w:r>
        <w:t>дюрація</w:t>
      </w:r>
      <w:r w:rsidRPr="00DB3FCA">
        <w:rPr>
          <w:lang w:val="en-US"/>
        </w:rPr>
        <w:t xml:space="preserve"> </w:t>
      </w:r>
      <w:r>
        <w:t>портфеля</w:t>
      </w:r>
      <w:r w:rsidRPr="00DB3FCA">
        <w:rPr>
          <w:lang w:val="en-US"/>
        </w:rPr>
        <w:t xml:space="preserve"> (</w:t>
      </w:r>
      <w:r>
        <w:t>роки</w:t>
      </w:r>
      <w:r w:rsidRPr="00DB3FCA">
        <w:rPr>
          <w:lang w:val="en-US"/>
        </w:rPr>
        <w:t xml:space="preserve">); </w:t>
      </w:r>
    </w:p>
    <w:p w:rsidR="00DB3FCA" w:rsidRPr="00DB3FCA" w:rsidRDefault="00DB3FCA" w:rsidP="00937DA2">
      <w:pPr>
        <w:tabs>
          <w:tab w:val="left" w:pos="1035"/>
        </w:tabs>
        <w:spacing w:line="240" w:lineRule="auto"/>
        <w:ind w:firstLine="709"/>
      </w:pPr>
      <w:r w:rsidRPr="00DB3FCA">
        <w:rPr>
          <w:lang w:val="en-US"/>
        </w:rPr>
        <w:t>DF</w:t>
      </w:r>
      <w:r>
        <w:t>І</w:t>
      </w:r>
      <w:r w:rsidRPr="00DB3FCA">
        <w:rPr>
          <w:vertAlign w:val="subscript"/>
          <w:lang w:val="en-US"/>
        </w:rPr>
        <w:t>m</w:t>
      </w:r>
      <w:r w:rsidRPr="00DB3FCA">
        <w:t xml:space="preserve"> — </w:t>
      </w:r>
      <w:r>
        <w:t>дюрація</w:t>
      </w:r>
      <w:r w:rsidRPr="00DB3FCA">
        <w:t xml:space="preserve"> </w:t>
      </w:r>
      <w:r w:rsidRPr="00DB3FCA">
        <w:rPr>
          <w:lang w:val="en-US"/>
        </w:rPr>
        <w:t>m</w:t>
      </w:r>
      <w:r w:rsidRPr="00DB3FCA">
        <w:t>-</w:t>
      </w:r>
      <w:r>
        <w:t>го</w:t>
      </w:r>
      <w:r w:rsidRPr="00DB3FCA">
        <w:t xml:space="preserve"> </w:t>
      </w:r>
      <w:r>
        <w:t>фінансо</w:t>
      </w:r>
      <w:r w:rsidRPr="00DB3FCA">
        <w:t/>
      </w:r>
      <w:r>
        <w:t>вого</w:t>
      </w:r>
      <w:r w:rsidRPr="00DB3FCA">
        <w:t xml:space="preserve"> </w:t>
      </w:r>
      <w:r>
        <w:t>інструмента</w:t>
      </w:r>
      <w:r w:rsidRPr="00DB3FCA">
        <w:t xml:space="preserve">, </w:t>
      </w:r>
      <w:r>
        <w:t>що</w:t>
      </w:r>
      <w:r w:rsidRPr="00DB3FCA">
        <w:t xml:space="preserve"> </w:t>
      </w:r>
      <w:r>
        <w:t>входить</w:t>
      </w:r>
      <w:r w:rsidRPr="00DB3FCA">
        <w:t xml:space="preserve"> </w:t>
      </w:r>
      <w:r>
        <w:t>до</w:t>
      </w:r>
      <w:r w:rsidRPr="00DB3FCA">
        <w:t xml:space="preserve"> </w:t>
      </w:r>
      <w:r>
        <w:t>складу</w:t>
      </w:r>
      <w:r w:rsidRPr="00DB3FCA">
        <w:t xml:space="preserve"> </w:t>
      </w:r>
      <w:r>
        <w:t>портфеля</w:t>
      </w:r>
      <w:r w:rsidRPr="00DB3FCA">
        <w:t xml:space="preserve"> (</w:t>
      </w:r>
      <w:r>
        <w:rPr>
          <w:lang w:val="en-US"/>
        </w:rPr>
        <w:t>m</w:t>
      </w:r>
      <w:r w:rsidRPr="00DB3FCA">
        <w:t xml:space="preserve">=1, </w:t>
      </w:r>
      <w:proofErr w:type="gramStart"/>
      <w:r>
        <w:rPr>
          <w:lang w:val="en-US"/>
        </w:rPr>
        <w:t>M</w:t>
      </w:r>
      <w:r w:rsidRPr="00DB3FCA">
        <w:t xml:space="preserve"> )</w:t>
      </w:r>
      <w:proofErr w:type="gramEnd"/>
      <w:r w:rsidRPr="00DB3FCA">
        <w:t xml:space="preserve">; </w:t>
      </w:r>
    </w:p>
    <w:p w:rsidR="00DB3FCA" w:rsidRDefault="00DB3FC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 w:rsidRPr="00DB3FCA">
        <w:rPr>
          <w:lang w:val="en-US"/>
        </w:rPr>
        <w:t>F</w:t>
      </w:r>
      <w:r>
        <w:t>І</w:t>
      </w:r>
      <w:r w:rsidRPr="00DB3FCA">
        <w:rPr>
          <w:vertAlign w:val="subscript"/>
          <w:lang w:val="en-US"/>
        </w:rPr>
        <w:t>m</w:t>
      </w:r>
      <w:r w:rsidRPr="00DB3FCA">
        <w:t xml:space="preserve"> — </w:t>
      </w:r>
      <w:r>
        <w:t>ринкова</w:t>
      </w:r>
      <w:r w:rsidRPr="00DB3FCA">
        <w:t xml:space="preserve"> </w:t>
      </w:r>
      <w:r>
        <w:t>ціна</w:t>
      </w:r>
      <w:r w:rsidRPr="00DB3FCA">
        <w:t xml:space="preserve"> </w:t>
      </w:r>
      <w:r w:rsidRPr="00DB3FCA">
        <w:rPr>
          <w:lang w:val="en-US"/>
        </w:rPr>
        <w:t>m</w:t>
      </w:r>
      <w:r w:rsidRPr="00DB3FCA">
        <w:t>-</w:t>
      </w:r>
      <w:r>
        <w:t>го</w:t>
      </w:r>
      <w:r w:rsidRPr="00DB3FCA">
        <w:t xml:space="preserve"> </w:t>
      </w:r>
      <w:r>
        <w:t>фінансового</w:t>
      </w:r>
      <w:r w:rsidRPr="00DB3FCA">
        <w:t xml:space="preserve"> </w:t>
      </w:r>
      <w:r>
        <w:t>інструмента</w:t>
      </w:r>
      <w:r w:rsidRPr="00DB3FCA">
        <w:t xml:space="preserve">; </w:t>
      </w:r>
    </w:p>
    <w:p w:rsidR="00DB3FCA" w:rsidRDefault="00DB3FCA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М</w:t>
      </w:r>
      <w:r w:rsidRPr="00DB3FCA">
        <w:t xml:space="preserve"> — </w:t>
      </w:r>
      <w:r>
        <w:t>кількість</w:t>
      </w:r>
      <w:r w:rsidRPr="00DB3FCA">
        <w:t xml:space="preserve"> </w:t>
      </w:r>
      <w:r>
        <w:t>фінансових</w:t>
      </w:r>
      <w:r w:rsidRPr="00DB3FCA">
        <w:t xml:space="preserve"> </w:t>
      </w:r>
      <w:r>
        <w:t>інструментів</w:t>
      </w:r>
      <w:r w:rsidRPr="00DB3FCA">
        <w:t xml:space="preserve"> </w:t>
      </w:r>
      <w:r>
        <w:t>у</w:t>
      </w:r>
      <w:r w:rsidRPr="00DB3FCA">
        <w:t xml:space="preserve"> </w:t>
      </w:r>
      <w:r>
        <w:t>портфелі</w:t>
      </w:r>
      <w:r w:rsidRPr="00DB3FCA">
        <w:t>.</w:t>
      </w:r>
    </w:p>
    <w:p w:rsidR="00DF7FE2" w:rsidRPr="00DF7FE2" w:rsidRDefault="00DF7FE2" w:rsidP="00937DA2">
      <w:pPr>
        <w:tabs>
          <w:tab w:val="left" w:pos="1035"/>
        </w:tabs>
        <w:spacing w:line="240" w:lineRule="auto"/>
        <w:ind w:firstLine="709"/>
        <w:rPr>
          <w:lang w:val="en-US"/>
        </w:rPr>
      </w:pPr>
      <w:r>
        <w:t>Управління</w:t>
      </w:r>
      <w:r w:rsidRPr="00DF7FE2">
        <w:rPr>
          <w:lang w:val="en-US"/>
        </w:rPr>
        <w:t xml:space="preserve"> </w:t>
      </w:r>
      <w:r>
        <w:t>дюрацією</w:t>
      </w:r>
      <w:r w:rsidRPr="00DF7FE2">
        <w:rPr>
          <w:lang w:val="en-US"/>
        </w:rPr>
        <w:t xml:space="preserve"> </w:t>
      </w:r>
      <w:r>
        <w:t>є</w:t>
      </w:r>
      <w:r w:rsidRPr="00DF7FE2">
        <w:rPr>
          <w:lang w:val="en-US"/>
        </w:rPr>
        <w:t xml:space="preserve"> </w:t>
      </w:r>
      <w:r>
        <w:t>одним</w:t>
      </w:r>
      <w:r w:rsidRPr="00DF7FE2">
        <w:rPr>
          <w:lang w:val="en-US"/>
        </w:rPr>
        <w:t xml:space="preserve"> </w:t>
      </w:r>
      <w:r>
        <w:t>із</w:t>
      </w:r>
      <w:r w:rsidRPr="00DF7FE2">
        <w:rPr>
          <w:lang w:val="en-US"/>
        </w:rPr>
        <w:t xml:space="preserve"> </w:t>
      </w:r>
      <w:r>
        <w:t>методів</w:t>
      </w:r>
      <w:r w:rsidRPr="00DF7FE2">
        <w:rPr>
          <w:lang w:val="en-US"/>
        </w:rPr>
        <w:t xml:space="preserve"> </w:t>
      </w:r>
      <w:r>
        <w:t>зниження</w:t>
      </w:r>
      <w:r w:rsidRPr="00DF7FE2">
        <w:rPr>
          <w:lang w:val="en-US"/>
        </w:rPr>
        <w:t xml:space="preserve"> </w:t>
      </w:r>
      <w:r>
        <w:t>відсоткового</w:t>
      </w:r>
      <w:r w:rsidRPr="00DF7FE2">
        <w:rPr>
          <w:lang w:val="en-US"/>
        </w:rPr>
        <w:t xml:space="preserve"> </w:t>
      </w:r>
      <w:r>
        <w:t>ризику</w:t>
      </w:r>
      <w:r w:rsidRPr="00DF7FE2">
        <w:rPr>
          <w:lang w:val="en-US"/>
        </w:rPr>
        <w:t xml:space="preserve">, </w:t>
      </w:r>
      <w:r>
        <w:t>який</w:t>
      </w:r>
      <w:r w:rsidRPr="00DF7FE2">
        <w:rPr>
          <w:lang w:val="en-US"/>
        </w:rPr>
        <w:t xml:space="preserve"> </w:t>
      </w:r>
      <w:r>
        <w:t>може</w:t>
      </w:r>
      <w:r w:rsidRPr="00DF7FE2">
        <w:rPr>
          <w:lang w:val="en-US"/>
        </w:rPr>
        <w:t xml:space="preserve"> </w:t>
      </w:r>
      <w:r>
        <w:t>бути</w:t>
      </w:r>
      <w:r w:rsidRPr="00DF7FE2">
        <w:rPr>
          <w:lang w:val="en-US"/>
        </w:rPr>
        <w:t xml:space="preserve"> </w:t>
      </w:r>
      <w:r>
        <w:t>застосований</w:t>
      </w:r>
      <w:r w:rsidRPr="00DF7FE2">
        <w:rPr>
          <w:lang w:val="en-US"/>
        </w:rPr>
        <w:t xml:space="preserve"> </w:t>
      </w:r>
      <w:r>
        <w:t>не</w:t>
      </w:r>
      <w:r w:rsidRPr="00DF7FE2">
        <w:rPr>
          <w:lang w:val="en-US"/>
        </w:rPr>
        <w:t xml:space="preserve"> </w:t>
      </w:r>
      <w:r>
        <w:t>лише</w:t>
      </w:r>
      <w:r w:rsidRPr="00DF7FE2">
        <w:rPr>
          <w:lang w:val="en-US"/>
        </w:rPr>
        <w:t xml:space="preserve"> </w:t>
      </w:r>
      <w:r>
        <w:t>щодо</w:t>
      </w:r>
      <w:r w:rsidRPr="00DF7FE2">
        <w:rPr>
          <w:lang w:val="en-US"/>
        </w:rPr>
        <w:t xml:space="preserve"> </w:t>
      </w:r>
      <w:r>
        <w:t>портфеля</w:t>
      </w:r>
      <w:r w:rsidRPr="00DF7FE2">
        <w:rPr>
          <w:lang w:val="en-US"/>
        </w:rPr>
        <w:t xml:space="preserve"> </w:t>
      </w:r>
      <w:r>
        <w:t>цінних</w:t>
      </w:r>
      <w:r w:rsidRPr="00DF7FE2">
        <w:rPr>
          <w:lang w:val="en-US"/>
        </w:rPr>
        <w:t xml:space="preserve"> </w:t>
      </w:r>
      <w:r>
        <w:t>паперів</w:t>
      </w:r>
      <w:r w:rsidRPr="00DF7FE2">
        <w:rPr>
          <w:lang w:val="en-US"/>
        </w:rPr>
        <w:t xml:space="preserve">, </w:t>
      </w:r>
      <w:proofErr w:type="gramStart"/>
      <w:r>
        <w:t>а</w:t>
      </w:r>
      <w:r w:rsidRPr="00DF7FE2">
        <w:rPr>
          <w:lang w:val="en-US"/>
        </w:rPr>
        <w:t xml:space="preserve"> </w:t>
      </w:r>
      <w:r>
        <w:t>й</w:t>
      </w:r>
      <w:proofErr w:type="gramEnd"/>
      <w:r w:rsidRPr="00DF7FE2">
        <w:rPr>
          <w:lang w:val="en-US"/>
        </w:rPr>
        <w:t xml:space="preserve"> </w:t>
      </w:r>
      <w:r>
        <w:t>щодо</w:t>
      </w:r>
      <w:r w:rsidRPr="00DF7FE2">
        <w:rPr>
          <w:lang w:val="en-US"/>
        </w:rPr>
        <w:t xml:space="preserve"> </w:t>
      </w:r>
      <w:r>
        <w:t>загального</w:t>
      </w:r>
      <w:r w:rsidRPr="00DF7FE2">
        <w:rPr>
          <w:lang w:val="en-US"/>
        </w:rPr>
        <w:t xml:space="preserve"> </w:t>
      </w:r>
      <w:r>
        <w:t>портфеля</w:t>
      </w:r>
      <w:r w:rsidRPr="00DF7FE2">
        <w:rPr>
          <w:lang w:val="en-US"/>
        </w:rPr>
        <w:t xml:space="preserve"> </w:t>
      </w:r>
      <w:r>
        <w:t>активів</w:t>
      </w:r>
      <w:r w:rsidRPr="00DF7FE2">
        <w:rPr>
          <w:lang w:val="en-US"/>
        </w:rPr>
        <w:t xml:space="preserve"> </w:t>
      </w:r>
      <w:r>
        <w:t>і</w:t>
      </w:r>
      <w:r w:rsidRPr="00DF7FE2">
        <w:rPr>
          <w:lang w:val="en-US"/>
        </w:rPr>
        <w:t xml:space="preserve"> </w:t>
      </w:r>
      <w:r>
        <w:t>пасивів</w:t>
      </w:r>
      <w:r w:rsidRPr="00DF7FE2">
        <w:rPr>
          <w:lang w:val="en-US"/>
        </w:rPr>
        <w:t xml:space="preserve"> (</w:t>
      </w:r>
      <w:r>
        <w:t>динамічного</w:t>
      </w:r>
      <w:r w:rsidRPr="00DF7FE2">
        <w:rPr>
          <w:lang w:val="en-US"/>
        </w:rPr>
        <w:t xml:space="preserve"> </w:t>
      </w:r>
      <w:r>
        <w:t>балан</w:t>
      </w:r>
      <w:bookmarkStart w:id="0" w:name="_GoBack"/>
      <w:bookmarkEnd w:id="0"/>
      <w:r>
        <w:t>су</w:t>
      </w:r>
      <w:r w:rsidRPr="00DF7FE2">
        <w:rPr>
          <w:lang w:val="en-US"/>
        </w:rPr>
        <w:t xml:space="preserve">) </w:t>
      </w:r>
      <w:r>
        <w:t>банку</w:t>
      </w:r>
      <w:r>
        <w:rPr>
          <w:lang w:val="en-US"/>
        </w:rPr>
        <w:t>.</w:t>
      </w:r>
    </w:p>
    <w:sectPr w:rsidR="00DF7FE2" w:rsidRPr="00DF7FE2" w:rsidSect="003A400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48A7"/>
    <w:multiLevelType w:val="hybridMultilevel"/>
    <w:tmpl w:val="B408296A"/>
    <w:lvl w:ilvl="0" w:tplc="AE966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550A3"/>
    <w:multiLevelType w:val="hybridMultilevel"/>
    <w:tmpl w:val="3C9E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4E"/>
    <w:rsid w:val="000152DB"/>
    <w:rsid w:val="00054D20"/>
    <w:rsid w:val="000649A0"/>
    <w:rsid w:val="000A17D0"/>
    <w:rsid w:val="0010268B"/>
    <w:rsid w:val="00111E68"/>
    <w:rsid w:val="001A3F0E"/>
    <w:rsid w:val="001F4686"/>
    <w:rsid w:val="00271677"/>
    <w:rsid w:val="002B640C"/>
    <w:rsid w:val="002E24A5"/>
    <w:rsid w:val="00300E3A"/>
    <w:rsid w:val="003A4005"/>
    <w:rsid w:val="003F3B76"/>
    <w:rsid w:val="004355D1"/>
    <w:rsid w:val="004B789D"/>
    <w:rsid w:val="00605A4E"/>
    <w:rsid w:val="006C6532"/>
    <w:rsid w:val="007943C4"/>
    <w:rsid w:val="00811766"/>
    <w:rsid w:val="008E20ED"/>
    <w:rsid w:val="00937DA2"/>
    <w:rsid w:val="00A80339"/>
    <w:rsid w:val="00B6171A"/>
    <w:rsid w:val="00C21F38"/>
    <w:rsid w:val="00C87E82"/>
    <w:rsid w:val="00D267DE"/>
    <w:rsid w:val="00DB3FCA"/>
    <w:rsid w:val="00DF2639"/>
    <w:rsid w:val="00DF7FE2"/>
    <w:rsid w:val="00F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0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1F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1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0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1F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1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6365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20</cp:revision>
  <dcterms:created xsi:type="dcterms:W3CDTF">2022-08-31T13:16:00Z</dcterms:created>
  <dcterms:modified xsi:type="dcterms:W3CDTF">2022-09-01T09:16:00Z</dcterms:modified>
</cp:coreProperties>
</file>