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261949" w:rsidP="00AF7E49">
      <w:pPr>
        <w:spacing w:line="240" w:lineRule="auto"/>
        <w:jc w:val="center"/>
        <w:rPr>
          <w:b/>
          <w:lang w:val="uk-UA"/>
        </w:rPr>
      </w:pPr>
      <w:r w:rsidRPr="00261949">
        <w:rPr>
          <w:b/>
          <w:lang w:val="uk-UA"/>
        </w:rPr>
        <w:t>ТЕМА 7. УПРАВЛІННЯ АКТИВАМИ І ПАСИВАМИ БАНКУ</w:t>
      </w:r>
    </w:p>
    <w:p w:rsidR="001E0FB6" w:rsidRDefault="001E0FB6" w:rsidP="00AF7E49">
      <w:pPr>
        <w:spacing w:line="240" w:lineRule="auto"/>
        <w:jc w:val="center"/>
        <w:rPr>
          <w:b/>
          <w:lang w:val="uk-UA"/>
        </w:rPr>
      </w:pPr>
    </w:p>
    <w:p w:rsidR="001E0FB6" w:rsidRPr="001E0FB6" w:rsidRDefault="001E0FB6" w:rsidP="00AF7E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lang w:val="uk-UA"/>
        </w:rPr>
      </w:pPr>
      <w:r w:rsidRPr="001E0FB6">
        <w:t xml:space="preserve">Розвиток </w:t>
      </w:r>
      <w:proofErr w:type="gramStart"/>
      <w:r w:rsidRPr="001E0FB6">
        <w:t>п</w:t>
      </w:r>
      <w:proofErr w:type="gramEnd"/>
      <w:r w:rsidRPr="001E0FB6">
        <w:t>ідходів до управління активами і пасивами банку</w:t>
      </w:r>
      <w:r w:rsidRPr="001E0FB6">
        <w:rPr>
          <w:lang w:val="uk-UA"/>
        </w:rPr>
        <w:t>.</w:t>
      </w:r>
    </w:p>
    <w:p w:rsidR="001E0FB6" w:rsidRPr="00AF7E49" w:rsidRDefault="001E0FB6" w:rsidP="00AF7E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lang w:val="uk-UA"/>
        </w:rPr>
      </w:pPr>
      <w:r>
        <w:t>Організація процесу управління активами і пасивами банку</w:t>
      </w:r>
      <w:r w:rsidRPr="00AF7E49">
        <w:rPr>
          <w:lang w:val="uk-UA"/>
        </w:rPr>
        <w:t>.</w:t>
      </w:r>
    </w:p>
    <w:p w:rsidR="00AF7E49" w:rsidRDefault="00AF7E49" w:rsidP="00AF7E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lang w:val="uk-UA"/>
        </w:rPr>
      </w:pPr>
      <w:r>
        <w:t>Інструментарій управління активами і пасивами банку</w:t>
      </w:r>
      <w:r>
        <w:rPr>
          <w:lang w:val="uk-UA"/>
        </w:rPr>
        <w:t>.</w:t>
      </w:r>
    </w:p>
    <w:p w:rsidR="002A74A4" w:rsidRPr="002A74A4" w:rsidRDefault="002A74A4" w:rsidP="002A74A4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lang w:val="uk-UA"/>
        </w:rPr>
      </w:pPr>
      <w:r w:rsidRPr="002A74A4">
        <w:t>Імунізація балансу банку</w:t>
      </w:r>
      <w:r w:rsidRPr="002A74A4">
        <w:rPr>
          <w:lang w:val="uk-UA"/>
        </w:rPr>
        <w:t>.</w:t>
      </w:r>
    </w:p>
    <w:p w:rsidR="002A74A4" w:rsidRPr="00AE64E6" w:rsidRDefault="00AE64E6" w:rsidP="00AE64E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lang w:val="uk-UA"/>
        </w:rPr>
      </w:pPr>
      <w:r>
        <w:t>Управління валютним ризиком банку</w:t>
      </w:r>
      <w:r>
        <w:rPr>
          <w:lang w:val="uk-UA"/>
        </w:rPr>
        <w:t>.</w:t>
      </w:r>
    </w:p>
    <w:p w:rsidR="00564584" w:rsidRDefault="00564584" w:rsidP="00AF7E49">
      <w:pPr>
        <w:spacing w:line="240" w:lineRule="auto"/>
        <w:jc w:val="center"/>
        <w:rPr>
          <w:b/>
          <w:lang w:val="uk-UA"/>
        </w:rPr>
      </w:pPr>
    </w:p>
    <w:p w:rsidR="00564584" w:rsidRPr="00564584" w:rsidRDefault="00564584" w:rsidP="00AF7E49">
      <w:pPr>
        <w:pStyle w:val="a3"/>
        <w:numPr>
          <w:ilvl w:val="0"/>
          <w:numId w:val="2"/>
        </w:numPr>
        <w:spacing w:line="240" w:lineRule="auto"/>
        <w:rPr>
          <w:b/>
          <w:lang w:val="uk-UA"/>
        </w:rPr>
      </w:pPr>
      <w:r w:rsidRPr="00564584">
        <w:rPr>
          <w:b/>
        </w:rPr>
        <w:t xml:space="preserve">Розвиток </w:t>
      </w:r>
      <w:proofErr w:type="gramStart"/>
      <w:r w:rsidRPr="00564584">
        <w:rPr>
          <w:b/>
        </w:rPr>
        <w:t>п</w:t>
      </w:r>
      <w:proofErr w:type="gramEnd"/>
      <w:r w:rsidRPr="00564584">
        <w:rPr>
          <w:b/>
        </w:rPr>
        <w:t>ідходів до управління активами і пасивами банку</w:t>
      </w:r>
      <w:r w:rsidRPr="00564584">
        <w:rPr>
          <w:b/>
          <w:lang w:val="uk-UA"/>
        </w:rPr>
        <w:t>.</w:t>
      </w:r>
    </w:p>
    <w:p w:rsidR="00564584" w:rsidRDefault="00564584" w:rsidP="00564584">
      <w:pPr>
        <w:pStyle w:val="a3"/>
        <w:spacing w:line="240" w:lineRule="auto"/>
        <w:ind w:left="0" w:firstLine="709"/>
        <w:rPr>
          <w:lang w:val="uk-UA"/>
        </w:rPr>
      </w:pPr>
      <w:r w:rsidRPr="00564584">
        <w:rPr>
          <w:lang w:val="uk-UA"/>
        </w:rPr>
        <w:t>У сучасній банківській практиц</w:t>
      </w:r>
      <w:r>
        <w:rPr>
          <w:lang w:val="uk-UA"/>
        </w:rPr>
        <w:t>і під управлінням активами і па</w:t>
      </w:r>
      <w:r w:rsidRPr="00564584">
        <w:rPr>
          <w:lang w:val="uk-UA"/>
        </w:rPr>
        <w:t>сивами (УАП) прийнято розуміти інтегров</w:t>
      </w:r>
      <w:r>
        <w:rPr>
          <w:lang w:val="uk-UA"/>
        </w:rPr>
        <w:t>аний підхід до управління фінан</w:t>
      </w:r>
      <w:r w:rsidRPr="00564584">
        <w:rPr>
          <w:lang w:val="uk-UA"/>
        </w:rPr>
        <w:t>совими потоками банку, за якого активи, з</w:t>
      </w:r>
      <w:r>
        <w:rPr>
          <w:lang w:val="uk-UA"/>
        </w:rPr>
        <w:t>обов’язання та капітал розгляда</w:t>
      </w:r>
      <w:r w:rsidRPr="00564584">
        <w:rPr>
          <w:lang w:val="uk-UA"/>
        </w:rPr>
        <w:t>ються у нерозривній єдності і спрямовуються на досягнення стратегічної мети банківської діяльності.</w:t>
      </w:r>
    </w:p>
    <w:p w:rsidR="00564584" w:rsidRPr="00564584" w:rsidRDefault="00564584" w:rsidP="00564584">
      <w:pPr>
        <w:pStyle w:val="a3"/>
        <w:spacing w:line="240" w:lineRule="auto"/>
        <w:ind w:left="0" w:firstLine="709"/>
        <w:rPr>
          <w:lang w:val="uk-UA"/>
        </w:rPr>
      </w:pPr>
      <w:r w:rsidRPr="00564584">
        <w:rPr>
          <w:lang w:val="uk-UA"/>
        </w:rPr>
        <w:t xml:space="preserve"> </w:t>
      </w:r>
      <w:r>
        <w:t xml:space="preserve">Сутність управління активами і пасивами полягає у координуванні управлінських </w:t>
      </w:r>
      <w:proofErr w:type="gramStart"/>
      <w:r>
        <w:t>р</w:t>
      </w:r>
      <w:proofErr w:type="gramEnd"/>
      <w:r>
        <w:t>ішень щодо проведення активних і пасивних банківських операцій так, що це приводить структуру динамічного банківського балансу у відповідність до обраної банком стратегії і тактики</w:t>
      </w:r>
      <w:r>
        <w:rPr>
          <w:lang w:val="uk-UA"/>
        </w:rPr>
        <w:t>.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proofErr w:type="gramStart"/>
      <w:r>
        <w:t>З</w:t>
      </w:r>
      <w:proofErr w:type="gramEnd"/>
      <w:r>
        <w:t xml:space="preserve"> огляду на історичний розви</w:t>
      </w:r>
      <w:r>
        <w:t xml:space="preserve">ток поглядів на управління фінансовими потоками в комерційному банку розрізняють три основні підходи: 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>
        <w:t xml:space="preserve">1) через управління активами; 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>
        <w:t xml:space="preserve">2) через управління пасивами; </w:t>
      </w:r>
    </w:p>
    <w:p w:rsidR="00261949" w:rsidRDefault="00564584" w:rsidP="00564584">
      <w:pPr>
        <w:spacing w:line="240" w:lineRule="auto"/>
        <w:ind w:firstLine="709"/>
        <w:rPr>
          <w:lang w:val="uk-UA"/>
        </w:rPr>
      </w:pPr>
      <w:r>
        <w:t xml:space="preserve">3) через управління активами і пасивами (інтегрований </w:t>
      </w:r>
      <w:proofErr w:type="gramStart"/>
      <w:r>
        <w:t>п</w:t>
      </w:r>
      <w:proofErr w:type="gramEnd"/>
      <w:r>
        <w:t>ідхід).</w:t>
      </w:r>
    </w:p>
    <w:p w:rsidR="00564584" w:rsidRDefault="00564584" w:rsidP="00564584">
      <w:pPr>
        <w:spacing w:line="240" w:lineRule="auto"/>
        <w:ind w:firstLine="709"/>
        <w:jc w:val="center"/>
        <w:rPr>
          <w:b/>
          <w:lang w:val="uk-UA"/>
        </w:rPr>
      </w:pPr>
    </w:p>
    <w:p w:rsidR="00564584" w:rsidRDefault="00564584" w:rsidP="00564584">
      <w:pPr>
        <w:spacing w:line="240" w:lineRule="auto"/>
        <w:ind w:firstLine="709"/>
        <w:jc w:val="center"/>
        <w:rPr>
          <w:b/>
          <w:lang w:val="uk-UA"/>
        </w:rPr>
      </w:pPr>
      <w:r w:rsidRPr="00564584">
        <w:rPr>
          <w:b/>
          <w:lang w:val="uk-UA"/>
        </w:rPr>
        <w:t>Управління банком через активи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 w:rsidRPr="00564584">
        <w:rPr>
          <w:lang w:val="uk-UA"/>
        </w:rPr>
        <w:t>За такого підходу банкіри сприймали джерела формування ресурсів — зобов’язання і капітал — як такі, що не залежать від їхньої діяльності, а визначаються, головно, можливостями та потребами клієнтів і акціонерів банку. Вважалося, що банк не може впли</w:t>
      </w:r>
      <w:r w:rsidRPr="00564584">
        <w:rPr>
          <w:lang w:val="uk-UA"/>
        </w:rPr>
        <w:t xml:space="preserve">нути на обсяги, вартість та структуру залучених коштів, оскільки клієнти банку нібито самі визначають кількісне співвідношення між депозитами, вкладами та поточними рахунками, які вони мають намір відкрити в банківській установі. </w:t>
      </w:r>
      <w:r>
        <w:t xml:space="preserve">В такому разі ключова сфера прийняття </w:t>
      </w:r>
      <w:proofErr w:type="gramStart"/>
      <w:r>
        <w:t>р</w:t>
      </w:r>
      <w:proofErr w:type="gramEnd"/>
      <w:r>
        <w:t>ішень керівництвом банку пов’язується не із залученням коштів, а із розміщенням активів. Управлінські рішення здебільшого стосуються того, кому надавати обмежені обсяги наявних кредитних ресурсів і якими мають бути умови позички.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 w:rsidRPr="00564584">
        <w:rPr>
          <w:u w:val="single"/>
          <w:lang w:val="uk-UA"/>
        </w:rPr>
        <w:t>Переваги стратегії управління активами</w:t>
      </w:r>
      <w:r>
        <w:rPr>
          <w:lang w:val="uk-UA"/>
        </w:rPr>
        <w:t xml:space="preserve"> полягають у від</w:t>
      </w:r>
      <w:r w:rsidRPr="00564584">
        <w:rPr>
          <w:lang w:val="uk-UA"/>
        </w:rPr>
        <w:t>носній простоті застосування, оскільки рішення приймаються лише щодо одного аспекту банківської діяльності — розміщення активів, а для управління</w:t>
      </w:r>
      <w:r>
        <w:rPr>
          <w:lang w:val="uk-UA"/>
        </w:rPr>
        <w:t xml:space="preserve"> ліквідністю застосовуються най</w:t>
      </w:r>
      <w:r w:rsidRPr="00564584">
        <w:rPr>
          <w:lang w:val="uk-UA"/>
        </w:rPr>
        <w:t xml:space="preserve">простіші методи, які не потребують значних ресурсних витрат. </w:t>
      </w:r>
      <w:r>
        <w:t xml:space="preserve">Банк не має потреби залучати висококваліфікований персонал, завдяки чому вдається скорочувати витрати на </w:t>
      </w:r>
      <w:proofErr w:type="gramStart"/>
      <w:r>
        <w:t>п</w:t>
      </w:r>
      <w:proofErr w:type="gramEnd"/>
      <w:r>
        <w:t xml:space="preserve">ідготовку та оплату праці фахівців. 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 w:rsidRPr="00564584">
        <w:rPr>
          <w:u w:val="single"/>
        </w:rPr>
        <w:t>Вади цієї стратегії</w:t>
      </w:r>
      <w:r>
        <w:t xml:space="preserve"> полягають </w:t>
      </w:r>
      <w:proofErr w:type="gramStart"/>
      <w:r>
        <w:t>у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, що вона не дозволяє максимізувати прибуток. Адже, з одного боку, банк відмовляється від управління залученими коштами і, отже, від впливу на їхню вартість. </w:t>
      </w:r>
      <w:proofErr w:type="gramStart"/>
      <w:r>
        <w:t>З</w:t>
      </w:r>
      <w:proofErr w:type="gramEnd"/>
      <w:r>
        <w:t xml:space="preserve"> іншого боку, велика частина </w:t>
      </w:r>
      <w:r>
        <w:lastRenderedPageBreak/>
        <w:t>банківських активів має знаходитись у високоліквідній формі для підтримання достатнього рівня ліквідності, що призводить до зменшення доходів.</w:t>
      </w:r>
    </w:p>
    <w:p w:rsidR="00564584" w:rsidRDefault="00564584" w:rsidP="00564584">
      <w:pPr>
        <w:spacing w:line="240" w:lineRule="auto"/>
        <w:ind w:firstLine="709"/>
        <w:jc w:val="center"/>
        <w:rPr>
          <w:b/>
          <w:lang w:val="uk-UA"/>
        </w:rPr>
      </w:pPr>
    </w:p>
    <w:p w:rsidR="00564584" w:rsidRDefault="00564584" w:rsidP="00564584">
      <w:pPr>
        <w:spacing w:line="240" w:lineRule="auto"/>
        <w:ind w:firstLine="709"/>
        <w:jc w:val="center"/>
        <w:rPr>
          <w:b/>
          <w:lang w:val="uk-UA"/>
        </w:rPr>
      </w:pPr>
      <w:r w:rsidRPr="00564584">
        <w:rPr>
          <w:b/>
          <w:lang w:val="uk-UA"/>
        </w:rPr>
        <w:t xml:space="preserve">Управління банком через </w:t>
      </w:r>
      <w:r>
        <w:rPr>
          <w:b/>
          <w:lang w:val="uk-UA"/>
        </w:rPr>
        <w:t>пасиви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 w:rsidRPr="00564584">
        <w:rPr>
          <w:lang w:val="uk-UA"/>
        </w:rPr>
        <w:t xml:space="preserve">Управління банком через </w:t>
      </w:r>
      <w:r>
        <w:rPr>
          <w:lang w:val="uk-UA"/>
        </w:rPr>
        <w:t>пасиви уможливило поступову рес</w:t>
      </w:r>
      <w:r w:rsidRPr="00564584">
        <w:rPr>
          <w:lang w:val="uk-UA"/>
        </w:rPr>
        <w:t>труктуризацію банківських балансів в напрямі мінімізації витрат за залученими коштами і, в підсумку, збільшення прибутку і капіталу. Вибір оптимальних співвідношень між обсягами різних видів депозитних джерел та ка</w:t>
      </w:r>
      <w:r>
        <w:rPr>
          <w:lang w:val="uk-UA"/>
        </w:rPr>
        <w:t>піталом, які забезпечували бажа</w:t>
      </w:r>
      <w:r w:rsidRPr="00564584">
        <w:rPr>
          <w:lang w:val="uk-UA"/>
        </w:rPr>
        <w:t>ний рівень стабільності фондів, дозволяв банкам надавати довго</w:t>
      </w:r>
      <w:r w:rsidRPr="00564584">
        <w:rPr>
          <w:lang w:val="uk-UA"/>
        </w:rPr>
        <w:t xml:space="preserve">строкові кредити, які є високодохідними, але більш ризиковими і потребують довгострокових інвестицій. </w:t>
      </w:r>
      <w:r>
        <w:t xml:space="preserve">Для забезпечення бажаного обсягу, структури та </w:t>
      </w:r>
      <w:proofErr w:type="gramStart"/>
      <w:r>
        <w:t>р</w:t>
      </w:r>
      <w:proofErr w:type="gramEnd"/>
      <w:r>
        <w:t xml:space="preserve">івня витрат за пасивами банки почали застосовувати як цінові, так і нецінові методи управління залученими коштами. 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>
        <w:t xml:space="preserve">Слід </w:t>
      </w:r>
      <w:proofErr w:type="gramStart"/>
      <w:r>
        <w:t>п</w:t>
      </w:r>
      <w:proofErr w:type="gramEnd"/>
      <w:r>
        <w:t>ідкреслити, що управління фінансовими потоками банку через пасиви не виключає паралельного управління активами, однак проблема полягає у розмежуванні та автономному за</w:t>
      </w:r>
      <w:r>
        <w:t>стосуванні кожного із цих підходів</w:t>
      </w:r>
      <w:r>
        <w:rPr>
          <w:lang w:val="uk-UA"/>
        </w:rPr>
        <w:t>.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 w:rsidRPr="00564584">
        <w:rPr>
          <w:u w:val="single"/>
        </w:rPr>
        <w:t>Перевагою управління банком через пасиви</w:t>
      </w:r>
      <w:r>
        <w:t xml:space="preserve"> є потенційна можливість збільшення прибутків встановленням контролю за операційними витратами та точнішим прогнозуванням потреби банку в </w:t>
      </w:r>
      <w:proofErr w:type="gramStart"/>
      <w:r>
        <w:t>л</w:t>
      </w:r>
      <w:proofErr w:type="gramEnd"/>
      <w:r>
        <w:t>іквідних коштах.</w:t>
      </w:r>
    </w:p>
    <w:p w:rsidR="00564584" w:rsidRDefault="00564584" w:rsidP="00564584">
      <w:pPr>
        <w:spacing w:line="240" w:lineRule="auto"/>
        <w:ind w:firstLine="709"/>
        <w:rPr>
          <w:lang w:val="uk-UA"/>
        </w:rPr>
      </w:pPr>
      <w:r>
        <w:t xml:space="preserve">Практика роботи окремих банків повною мірою відображає </w:t>
      </w:r>
      <w:r w:rsidRPr="00564584">
        <w:rPr>
          <w:u w:val="single"/>
        </w:rPr>
        <w:t>недоліки автономно</w:t>
      </w:r>
      <w:r>
        <w:rPr>
          <w:u w:val="single"/>
        </w:rPr>
        <w:t xml:space="preserve">го 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ідходу до управління </w:t>
      </w:r>
      <w:r w:rsidRPr="00564584">
        <w:rPr>
          <w:u w:val="single"/>
        </w:rPr>
        <w:t>пасивами.</w:t>
      </w:r>
      <w:r>
        <w:t xml:space="preserve"> Досить високий </w:t>
      </w:r>
      <w:proofErr w:type="gramStart"/>
      <w:r>
        <w:t>р</w:t>
      </w:r>
      <w:proofErr w:type="gramEnd"/>
      <w:r>
        <w:t>івень кредитних ставок на вітчизняному ринку не дозволяє позичальникам активно використовувати інструментарій кредитування в своїй діяльності, і банки, залучивши кошти, все частіше стикаються з проблемою їх ефективного та надійного розміщення</w:t>
      </w:r>
      <w:r>
        <w:rPr>
          <w:lang w:val="uk-UA"/>
        </w:rPr>
        <w:t>.</w:t>
      </w:r>
    </w:p>
    <w:p w:rsidR="00D872E1" w:rsidRDefault="00D872E1" w:rsidP="00D872E1">
      <w:pPr>
        <w:spacing w:line="240" w:lineRule="auto"/>
        <w:ind w:firstLine="709"/>
        <w:jc w:val="center"/>
        <w:rPr>
          <w:b/>
          <w:lang w:val="uk-UA"/>
        </w:rPr>
      </w:pPr>
    </w:p>
    <w:p w:rsidR="00D872E1" w:rsidRDefault="00D872E1" w:rsidP="00D872E1">
      <w:pPr>
        <w:spacing w:line="240" w:lineRule="auto"/>
        <w:ind w:firstLine="709"/>
        <w:jc w:val="center"/>
        <w:rPr>
          <w:b/>
          <w:lang w:val="uk-UA"/>
        </w:rPr>
      </w:pPr>
      <w:r w:rsidRPr="00D872E1">
        <w:rPr>
          <w:b/>
        </w:rPr>
        <w:t xml:space="preserve">Інтегрований </w:t>
      </w:r>
      <w:proofErr w:type="gramStart"/>
      <w:r w:rsidRPr="00D872E1">
        <w:rPr>
          <w:b/>
        </w:rPr>
        <w:t>п</w:t>
      </w:r>
      <w:proofErr w:type="gramEnd"/>
      <w:r w:rsidRPr="00D872E1">
        <w:rPr>
          <w:b/>
        </w:rPr>
        <w:t>ідхід до управління активами і пасивами</w:t>
      </w:r>
    </w:p>
    <w:p w:rsidR="00D872E1" w:rsidRDefault="00D872E1" w:rsidP="00D872E1">
      <w:pPr>
        <w:spacing w:line="240" w:lineRule="auto"/>
        <w:ind w:firstLine="709"/>
        <w:rPr>
          <w:lang w:val="uk-UA"/>
        </w:rPr>
      </w:pPr>
      <w:r w:rsidRPr="00D872E1">
        <w:rPr>
          <w:lang w:val="uk-UA"/>
        </w:rPr>
        <w:t xml:space="preserve">Якщо раніше головним банківським ризиком був кредитний, то </w:t>
      </w:r>
      <w:r>
        <w:rPr>
          <w:lang w:val="uk-UA"/>
        </w:rPr>
        <w:t>поступово</w:t>
      </w:r>
      <w:r w:rsidRPr="00D872E1">
        <w:rPr>
          <w:lang w:val="uk-UA"/>
        </w:rPr>
        <w:t xml:space="preserve"> ризиком номер один у банківській сфері став ризик зміни відсоткової ставки, що й зумовило розвиток інтегрованого підходу</w:t>
      </w:r>
      <w:r>
        <w:rPr>
          <w:lang w:val="uk-UA"/>
        </w:rPr>
        <w:t xml:space="preserve"> до управління активами та паси</w:t>
      </w:r>
      <w:r w:rsidRPr="00D872E1">
        <w:rPr>
          <w:lang w:val="uk-UA"/>
        </w:rPr>
        <w:t>вами, який переважає нині у світовій банківській практиці. У цей період ціна ресурсів пі</w:t>
      </w:r>
      <w:r>
        <w:rPr>
          <w:lang w:val="uk-UA"/>
        </w:rPr>
        <w:t>днялася і банки й ощадні устано</w:t>
      </w:r>
      <w:r w:rsidRPr="00D872E1">
        <w:rPr>
          <w:lang w:val="uk-UA"/>
        </w:rPr>
        <w:t xml:space="preserve">ви змушені були виплачувати вкладникам вищі відсотки, ніж передбачалося раніше. </w:t>
      </w:r>
      <w:r>
        <w:t>При цьому серед банківських активів переважали довгострокові, зокрема житлові іпотеки. За таких об</w:t>
      </w:r>
      <w:r>
        <w:t xml:space="preserve">ставин </w:t>
      </w:r>
      <w:proofErr w:type="gramStart"/>
      <w:r>
        <w:t>р</w:t>
      </w:r>
      <w:proofErr w:type="gramEnd"/>
      <w:r>
        <w:t xml:space="preserve">ізниця між доходами та витратами швидко скорочувалася, а це був прямий шлях до банкрутства. Деякі банки проігнорували нові обставини в надії на те, що ставки повернуться до попереднього </w:t>
      </w:r>
      <w:proofErr w:type="gramStart"/>
      <w:r>
        <w:t>р</w:t>
      </w:r>
      <w:proofErr w:type="gramEnd"/>
      <w:r>
        <w:t>івня, але цього не відбулося</w:t>
      </w:r>
      <w:r>
        <w:rPr>
          <w:lang w:val="uk-UA"/>
        </w:rPr>
        <w:t>.</w:t>
      </w:r>
    </w:p>
    <w:p w:rsidR="00D872E1" w:rsidRDefault="00D872E1" w:rsidP="00D872E1">
      <w:pPr>
        <w:spacing w:line="240" w:lineRule="auto"/>
        <w:ind w:firstLine="709"/>
        <w:rPr>
          <w:lang w:val="uk-UA"/>
        </w:rPr>
      </w:pPr>
      <w:r w:rsidRPr="00D872E1">
        <w:rPr>
          <w:lang w:val="uk-UA"/>
        </w:rPr>
        <w:t>Традиційні погляди, згідно з якими увесь дохід банку генерують активи — кредити та інвестиції, поступили</w:t>
      </w:r>
      <w:r>
        <w:rPr>
          <w:lang w:val="uk-UA"/>
        </w:rPr>
        <w:t>ся місцем ідеї одночасного інте</w:t>
      </w:r>
      <w:r w:rsidRPr="00D872E1">
        <w:rPr>
          <w:lang w:val="uk-UA"/>
        </w:rPr>
        <w:t xml:space="preserve">грованого управління активами і пасивами (надалі — УАП). </w:t>
      </w:r>
      <w:r>
        <w:t>Змі</w:t>
      </w:r>
      <w:proofErr w:type="gramStart"/>
      <w:r>
        <w:t>ст</w:t>
      </w:r>
      <w:proofErr w:type="gramEnd"/>
      <w:r>
        <w:t xml:space="preserve"> нового підходу полягає в розумінні того, що і доходи, і витрати стосуються обох сторін банківського балансу.</w:t>
      </w:r>
    </w:p>
    <w:p w:rsidR="00D872E1" w:rsidRDefault="00D872E1" w:rsidP="00D872E1">
      <w:pPr>
        <w:spacing w:line="240" w:lineRule="auto"/>
        <w:ind w:firstLine="709"/>
        <w:rPr>
          <w:lang w:val="uk-UA"/>
        </w:rPr>
      </w:pPr>
      <w:r w:rsidRPr="00D872E1">
        <w:rPr>
          <w:b/>
          <w:lang w:val="uk-UA"/>
        </w:rPr>
        <w:lastRenderedPageBreak/>
        <w:t>Сутність УАП</w:t>
      </w:r>
      <w:r w:rsidRPr="00D872E1">
        <w:rPr>
          <w:lang w:val="uk-UA"/>
        </w:rPr>
        <w:t xml:space="preserve"> полягає в с</w:t>
      </w:r>
      <w:r>
        <w:rPr>
          <w:lang w:val="uk-UA"/>
        </w:rPr>
        <w:t>координованому управлінні фінан</w:t>
      </w:r>
      <w:r w:rsidRPr="00D872E1">
        <w:rPr>
          <w:lang w:val="uk-UA"/>
        </w:rPr>
        <w:t xml:space="preserve">сами банку, в процесі якого через узгодження управлінських рішень та досягнення певних </w:t>
      </w:r>
      <w:r>
        <w:rPr>
          <w:lang w:val="uk-UA"/>
        </w:rPr>
        <w:t>пропорцій між активними і пасив</w:t>
      </w:r>
      <w:r w:rsidRPr="00D872E1">
        <w:rPr>
          <w:lang w:val="uk-UA"/>
        </w:rPr>
        <w:t>ними операціями досягається кілька цілей, таких як підвищення прибутку, зниження ризиків, аналіз і контроль за ліквідністю, управління спредом.</w:t>
      </w:r>
    </w:p>
    <w:p w:rsidR="001E0FB6" w:rsidRDefault="00D872E1" w:rsidP="00D872E1">
      <w:pPr>
        <w:spacing w:line="240" w:lineRule="auto"/>
        <w:ind w:firstLine="709"/>
        <w:rPr>
          <w:lang w:val="uk-UA"/>
        </w:rPr>
      </w:pPr>
      <w:r w:rsidRPr="00D872E1">
        <w:rPr>
          <w:lang w:val="uk-UA"/>
        </w:rPr>
        <w:t>Найважливіша особливість цього підходу — це внутрішня єдність всіх аспектів фінансової діяльност</w:t>
      </w:r>
      <w:r w:rsidR="001E0FB6">
        <w:rPr>
          <w:lang w:val="uk-UA"/>
        </w:rPr>
        <w:t>і банку, коли жодна мета, напри</w:t>
      </w:r>
      <w:r w:rsidRPr="00D872E1">
        <w:rPr>
          <w:lang w:val="uk-UA"/>
        </w:rPr>
        <w:t>клад, зниження ризику чи підвищення</w:t>
      </w:r>
      <w:r w:rsidR="001E0FB6">
        <w:rPr>
          <w:lang w:val="uk-UA"/>
        </w:rPr>
        <w:t xml:space="preserve"> прибутків, жодна фінансова опе</w:t>
      </w:r>
      <w:r w:rsidRPr="00D872E1">
        <w:rPr>
          <w:lang w:val="uk-UA"/>
        </w:rPr>
        <w:t>рація банку не може реалізуватися ізольо</w:t>
      </w:r>
      <w:r w:rsidR="001E0FB6">
        <w:rPr>
          <w:lang w:val="uk-UA"/>
        </w:rPr>
        <w:t>вано, оскільки є елементом інте</w:t>
      </w:r>
      <w:r w:rsidRPr="00D872E1">
        <w:rPr>
          <w:lang w:val="uk-UA"/>
        </w:rPr>
        <w:t xml:space="preserve">грованої системи управління. </w:t>
      </w:r>
      <w:r>
        <w:t>За інтегрованог</w:t>
      </w:r>
      <w:r w:rsidR="001E0FB6">
        <w:t xml:space="preserve">о </w:t>
      </w:r>
      <w:proofErr w:type="gramStart"/>
      <w:r w:rsidR="001E0FB6">
        <w:t>п</w:t>
      </w:r>
      <w:proofErr w:type="gramEnd"/>
      <w:r w:rsidR="001E0FB6">
        <w:t>ідходу банки розгляда</w:t>
      </w:r>
      <w:r>
        <w:t>ють свої активи і пасиви як одне ціле, в</w:t>
      </w:r>
      <w:r w:rsidR="001E0FB6">
        <w:t>изначаючи роль сукупного порт</w:t>
      </w:r>
      <w:r>
        <w:t xml:space="preserve">феля в одержанні високого прибутку за </w:t>
      </w:r>
      <w:r w:rsidR="001E0FB6">
        <w:t>прийнятного рівня ризику. Спіль</w:t>
      </w:r>
      <w:r>
        <w:t>не управління активами і пасивами дає</w:t>
      </w:r>
      <w:r w:rsidR="001E0FB6">
        <w:t xml:space="preserve"> банку інструментарій для форму</w:t>
      </w:r>
      <w:r>
        <w:t>вання оптимальної структури балансу та створення захисту від ризиків, спричинених значними коливаннями параметрів фінансових ринкі</w:t>
      </w:r>
      <w:proofErr w:type="gramStart"/>
      <w:r>
        <w:t>в</w:t>
      </w:r>
      <w:proofErr w:type="gramEnd"/>
      <w:r>
        <w:t xml:space="preserve">. </w:t>
      </w:r>
    </w:p>
    <w:p w:rsidR="00D872E1" w:rsidRDefault="00D872E1" w:rsidP="00D872E1">
      <w:pPr>
        <w:spacing w:line="240" w:lineRule="auto"/>
        <w:ind w:firstLine="709"/>
        <w:rPr>
          <w:lang w:val="uk-UA"/>
        </w:rPr>
      </w:pPr>
      <w:r w:rsidRPr="001E0FB6">
        <w:rPr>
          <w:lang w:val="uk-UA"/>
        </w:rPr>
        <w:t>Отже, основна ідея УАП полягає в розумінні нерозривної єдності активів, зобов’язань і капіталу банку та п</w:t>
      </w:r>
      <w:r w:rsidR="001E0FB6">
        <w:rPr>
          <w:lang w:val="uk-UA"/>
        </w:rPr>
        <w:t>ріоритетної ролі сукупного порт</w:t>
      </w:r>
      <w:r w:rsidRPr="001E0FB6">
        <w:rPr>
          <w:lang w:val="uk-UA"/>
        </w:rPr>
        <w:t>феля (балансу) в одержанні високого при</w:t>
      </w:r>
      <w:r w:rsidR="001E0FB6">
        <w:rPr>
          <w:lang w:val="uk-UA"/>
        </w:rPr>
        <w:t>бутку за прийнятного рівня ризи</w:t>
      </w:r>
      <w:r w:rsidRPr="001E0FB6">
        <w:rPr>
          <w:lang w:val="uk-UA"/>
        </w:rPr>
        <w:t>ку.</w:t>
      </w:r>
    </w:p>
    <w:p w:rsidR="001E0FB6" w:rsidRDefault="001E0FB6" w:rsidP="00D872E1">
      <w:pPr>
        <w:spacing w:line="240" w:lineRule="auto"/>
        <w:ind w:firstLine="709"/>
        <w:rPr>
          <w:lang w:val="uk-UA"/>
        </w:rPr>
      </w:pPr>
      <w:r w:rsidRPr="001E0FB6">
        <w:rPr>
          <w:u w:val="single"/>
          <w:lang w:val="uk-UA"/>
        </w:rPr>
        <w:t>Перевагою інтегрованого підходу</w:t>
      </w:r>
      <w:r w:rsidRPr="001E0FB6">
        <w:rPr>
          <w:lang w:val="uk-UA"/>
        </w:rPr>
        <w:t xml:space="preserve"> є можливість максимізації прибутку за прийнятного рівня р</w:t>
      </w:r>
      <w:r>
        <w:rPr>
          <w:lang w:val="uk-UA"/>
        </w:rPr>
        <w:t>изику, а також реалізація зваже</w:t>
      </w:r>
      <w:r w:rsidRPr="001E0FB6">
        <w:rPr>
          <w:lang w:val="uk-UA"/>
        </w:rPr>
        <w:t xml:space="preserve">ного підходу до управління ліквідністю завдяки точнішому визначенню потреби в ліквідних коштах. </w:t>
      </w:r>
    </w:p>
    <w:p w:rsidR="001E0FB6" w:rsidRDefault="001E0FB6" w:rsidP="001E0FB6">
      <w:pPr>
        <w:spacing w:line="240" w:lineRule="auto"/>
        <w:ind w:firstLine="709"/>
        <w:jc w:val="center"/>
        <w:rPr>
          <w:b/>
          <w:lang w:val="uk-UA"/>
        </w:rPr>
      </w:pPr>
    </w:p>
    <w:p w:rsidR="001E0FB6" w:rsidRDefault="001E0FB6" w:rsidP="001E0FB6">
      <w:pPr>
        <w:spacing w:line="240" w:lineRule="auto"/>
        <w:ind w:firstLine="709"/>
        <w:jc w:val="center"/>
        <w:rPr>
          <w:b/>
          <w:lang w:val="uk-UA"/>
        </w:rPr>
      </w:pPr>
      <w:r w:rsidRPr="001E0FB6">
        <w:rPr>
          <w:b/>
        </w:rPr>
        <w:t>Стратегії управління структурою активі</w:t>
      </w:r>
      <w:proofErr w:type="gramStart"/>
      <w:r w:rsidRPr="001E0FB6">
        <w:rPr>
          <w:b/>
        </w:rPr>
        <w:t>в</w:t>
      </w:r>
      <w:proofErr w:type="gramEnd"/>
      <w:r w:rsidRPr="001E0FB6">
        <w:rPr>
          <w:b/>
        </w:rPr>
        <w:t xml:space="preserve"> та зобов’язань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  <w:r>
        <w:t xml:space="preserve">Незалежно від того, якого </w:t>
      </w:r>
      <w:proofErr w:type="gramStart"/>
      <w:r>
        <w:t>п</w:t>
      </w:r>
      <w:proofErr w:type="gramEnd"/>
      <w:r>
        <w:t>ідходу до управління активами та пасивами додержується банк, перед менеджментом неминуче постає важливе запитання: чи мають величина та структура зобов’язань впливати на напрями розміщення активів?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  <w:r w:rsidRPr="001E0FB6">
        <w:rPr>
          <w:u w:val="single"/>
        </w:rPr>
        <w:t xml:space="preserve">Традиційний </w:t>
      </w:r>
      <w:proofErr w:type="gramStart"/>
      <w:r w:rsidRPr="001E0FB6">
        <w:rPr>
          <w:u w:val="single"/>
        </w:rPr>
        <w:t>п</w:t>
      </w:r>
      <w:proofErr w:type="gramEnd"/>
      <w:r w:rsidRPr="001E0FB6">
        <w:rPr>
          <w:u w:val="single"/>
        </w:rPr>
        <w:t>ідхід</w:t>
      </w:r>
      <w:r>
        <w:t xml:space="preserve"> до розв’язання проблеми полягає в об’єднанні джерел фінансування. Згідно з таким методом управління структура зобов’язань не впливає на вибі</w:t>
      </w:r>
      <w:proofErr w:type="gramStart"/>
      <w:r>
        <w:t>р</w:t>
      </w:r>
      <w:proofErr w:type="gramEnd"/>
      <w:r>
        <w:t xml:space="preserve"> напрямів розміщення активів, усі кошти розглядаються як єдиний ресурсний потенціал банку без урахування особливостей різних видів зобов’язань. Завдання керівництва банку — визначити </w:t>
      </w:r>
      <w:proofErr w:type="gramStart"/>
      <w:r>
        <w:t>пр</w:t>
      </w:r>
      <w:proofErr w:type="gramEnd"/>
      <w:r>
        <w:t xml:space="preserve">іоритетні напрями розміщення активів. 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  <w:r w:rsidRPr="00AF7E49">
        <w:rPr>
          <w:i/>
        </w:rPr>
        <w:t>Перевагою методу</w:t>
      </w:r>
      <w:r>
        <w:t xml:space="preserve"> об’єднання джерел фінансування є простота й доступність його </w:t>
      </w:r>
      <w:proofErr w:type="gramStart"/>
      <w:r>
        <w:t>практичного</w:t>
      </w:r>
      <w:proofErr w:type="gramEnd"/>
      <w:r>
        <w:t xml:space="preserve"> застосування, а головним </w:t>
      </w:r>
      <w:r w:rsidRPr="00AF7E49">
        <w:rPr>
          <w:i/>
        </w:rPr>
        <w:t>недоліком</w:t>
      </w:r>
      <w:r>
        <w:t xml:space="preserve"> — виникнення проблем з ліквідністю. 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  <w:r w:rsidRPr="001E0FB6">
        <w:rPr>
          <w:u w:val="single"/>
        </w:rPr>
        <w:t xml:space="preserve">Альтернативний </w:t>
      </w:r>
      <w:proofErr w:type="gramStart"/>
      <w:r w:rsidRPr="001E0FB6">
        <w:rPr>
          <w:u w:val="single"/>
        </w:rPr>
        <w:t>п</w:t>
      </w:r>
      <w:proofErr w:type="gramEnd"/>
      <w:r w:rsidRPr="001E0FB6">
        <w:rPr>
          <w:u w:val="single"/>
        </w:rPr>
        <w:t>ідхід</w:t>
      </w:r>
      <w:r>
        <w:t xml:space="preserve"> до управління структурою активів і зобов’язань банку базується на поділі джерел фінансування. Сутність методу полягає у встановленні відповідності між конкретними видами </w:t>
      </w:r>
      <w:proofErr w:type="gramStart"/>
      <w:r>
        <w:t>таких</w:t>
      </w:r>
      <w:proofErr w:type="gramEnd"/>
      <w:r>
        <w:t xml:space="preserve"> джерел та напрямами використання ресурсного потенціалу. Частина ресурсі</w:t>
      </w:r>
      <w:proofErr w:type="gramStart"/>
      <w:r>
        <w:t>в</w:t>
      </w:r>
      <w:proofErr w:type="gramEnd"/>
      <w:r>
        <w:t>, сформована за рахунок мінливих джерел, таких як вклади до запитання, залишки на роз</w:t>
      </w:r>
      <w:r>
        <w:t xml:space="preserve">рахункових рахунках клієнтів, отримані позики «овернайт», має вкладатися в короткострокові кредити та цінні папери. Кошти, залучені з відносно стабільних джерел, таких як строкові вклади, депозити, можуть бути спрямовані на видачу довгострокових кредитів і придбання </w:t>
      </w:r>
      <w:proofErr w:type="gramStart"/>
      <w:r>
        <w:t>обл</w:t>
      </w:r>
      <w:proofErr w:type="gramEnd"/>
      <w:r>
        <w:t>ігацій</w:t>
      </w:r>
      <w:r>
        <w:rPr>
          <w:lang w:val="uk-UA"/>
        </w:rPr>
        <w:t>.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  <w:r>
        <w:lastRenderedPageBreak/>
        <w:t xml:space="preserve">Застосовуючи метод поділу джерел фінансування, менеджмент банку має ретельно стежити за обсягами і строками </w:t>
      </w:r>
      <w:proofErr w:type="gramStart"/>
      <w:r>
        <w:t>р</w:t>
      </w:r>
      <w:proofErr w:type="gramEnd"/>
      <w:r>
        <w:t xml:space="preserve">ізних видів зобов’язань та приводити у відповідність до них структуру активів. З огляду на потребу постійно балансувати між структурою пасивів та активів зазначений метод стає досить трудомістким, а отже, ускладнюється практичне його застосування. Іншим </w:t>
      </w:r>
      <w:r w:rsidRPr="00AF7E49">
        <w:rPr>
          <w:i/>
        </w:rPr>
        <w:t xml:space="preserve">недоліком </w:t>
      </w:r>
      <w:r>
        <w:t>є можливе зменшення доходів банку, спричинене відмовою від прибуткового вкладення коштів, якщо не існує відповідного джерела фінансування.</w:t>
      </w:r>
      <w:r w:rsidRPr="00AF7E49">
        <w:rPr>
          <w:i/>
        </w:rPr>
        <w:t xml:space="preserve"> Перевага</w:t>
      </w:r>
      <w:r w:rsidRPr="00AF7E49">
        <w:t xml:space="preserve"> </w:t>
      </w:r>
      <w:r>
        <w:t>розгля</w:t>
      </w:r>
      <w:r w:rsidR="00AF7E49">
        <w:rPr>
          <w:lang w:val="uk-UA"/>
        </w:rPr>
        <w:t>нутого</w:t>
      </w:r>
      <w:r>
        <w:t xml:space="preserve"> методу полягає у зниженні ризику незбалансованої ліквідності, оскільки потреба в ліквідних коштах у будь-який час може бути передбачена</w:t>
      </w:r>
      <w:r>
        <w:rPr>
          <w:lang w:val="uk-UA"/>
        </w:rPr>
        <w:t>.</w:t>
      </w:r>
    </w:p>
    <w:p w:rsidR="001E0FB6" w:rsidRDefault="001E0FB6" w:rsidP="001E0FB6">
      <w:pPr>
        <w:spacing w:line="240" w:lineRule="auto"/>
        <w:ind w:firstLine="709"/>
        <w:rPr>
          <w:lang w:val="uk-UA"/>
        </w:rPr>
      </w:pPr>
    </w:p>
    <w:p w:rsidR="001E0FB6" w:rsidRPr="001E0FB6" w:rsidRDefault="001E0FB6" w:rsidP="001E0FB6">
      <w:pPr>
        <w:spacing w:line="240" w:lineRule="auto"/>
        <w:ind w:firstLine="709"/>
        <w:rPr>
          <w:b/>
          <w:lang w:val="uk-UA"/>
        </w:rPr>
      </w:pPr>
      <w:r w:rsidRPr="001E0FB6">
        <w:rPr>
          <w:b/>
          <w:lang w:val="uk-UA"/>
        </w:rPr>
        <w:t>2</w:t>
      </w:r>
      <w:r w:rsidRPr="001E0FB6">
        <w:rPr>
          <w:b/>
        </w:rPr>
        <w:t>. Організація процесу управління активами і пасивами банку</w:t>
      </w:r>
      <w:r w:rsidRPr="001E0FB6">
        <w:rPr>
          <w:b/>
          <w:lang w:val="uk-UA"/>
        </w:rPr>
        <w:t>.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>
        <w:t xml:space="preserve">Упровадження інтегрованого </w:t>
      </w:r>
      <w:proofErr w:type="gramStart"/>
      <w:r>
        <w:t>п</w:t>
      </w:r>
      <w:proofErr w:type="gramEnd"/>
      <w:r>
        <w:t xml:space="preserve">ідходу до управління активами і пасивами в банку починається зі створення спеціального комітету при Раді директорів, який називається </w:t>
      </w:r>
      <w:r w:rsidRPr="00AF7E49">
        <w:rPr>
          <w:b/>
        </w:rPr>
        <w:t>Комітет з управління активами і пасивами</w:t>
      </w:r>
      <w:r>
        <w:t xml:space="preserve"> (КУАП, або ALKO).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>До складу Комітету входять представники управління фінансовими операціями банку, кредитного та інвестиційно</w:t>
      </w:r>
      <w:r>
        <w:rPr>
          <w:lang w:val="uk-UA"/>
        </w:rPr>
        <w:t>го підрозділів, підрозділів еко</w:t>
      </w:r>
      <w:r w:rsidRPr="00AF7E49">
        <w:rPr>
          <w:lang w:val="uk-UA"/>
        </w:rPr>
        <w:t>номічного аналізу та прогнозув</w:t>
      </w:r>
      <w:r>
        <w:rPr>
          <w:lang w:val="uk-UA"/>
        </w:rPr>
        <w:t>ання, головний бухгалтер, голов</w:t>
      </w:r>
      <w:r w:rsidRPr="00AF7E49">
        <w:rPr>
          <w:lang w:val="uk-UA"/>
        </w:rPr>
        <w:t xml:space="preserve">ний економіст, керівники великих філій. </w:t>
      </w:r>
      <w:r>
        <w:t xml:space="preserve">Комітет діє не на постійній основі, а збирається із визначеною періодичністю для координації процесу управління в усіх </w:t>
      </w:r>
      <w:proofErr w:type="gramStart"/>
      <w:r>
        <w:t>сферах</w:t>
      </w:r>
      <w:proofErr w:type="gramEnd"/>
      <w:r>
        <w:t xml:space="preserve"> діяльності банку. Така практика дозволяє створити робочий орган, повноважень якого достатньо </w:t>
      </w:r>
      <w:proofErr w:type="gramStart"/>
      <w:r>
        <w:t>для</w:t>
      </w:r>
      <w:proofErr w:type="gramEnd"/>
      <w:r>
        <w:t xml:space="preserve"> реалізації покладених на нього функцій. </w:t>
      </w:r>
    </w:p>
    <w:p w:rsidR="00AF7E49" w:rsidRPr="00AF7E49" w:rsidRDefault="00AF7E49" w:rsidP="00564584">
      <w:pPr>
        <w:spacing w:line="240" w:lineRule="auto"/>
        <w:ind w:firstLine="709"/>
        <w:rPr>
          <w:b/>
          <w:lang w:val="uk-UA"/>
        </w:rPr>
      </w:pPr>
      <w:r w:rsidRPr="00AF7E49">
        <w:rPr>
          <w:b/>
          <w:lang w:val="uk-UA"/>
        </w:rPr>
        <w:t xml:space="preserve">Основні функції КУАП: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1) визначення рівня та меж допустимого ризику;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2) визначення потреб у ліквідних коштах;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3) оцінювання величини та достатності капіталу;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4) прогнозування й аналіз коливань відсоткових ставок;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5) прийняття рішень про хеджування ризиків;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6) оцінювання змін у доходах і витратах;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>7) визначення прийнятної стру</w:t>
      </w:r>
      <w:r>
        <w:rPr>
          <w:lang w:val="uk-UA"/>
        </w:rPr>
        <w:t>ктури та якості кредитного й ін</w:t>
      </w:r>
      <w:r w:rsidRPr="00AF7E49">
        <w:rPr>
          <w:lang w:val="uk-UA"/>
        </w:rPr>
        <w:t xml:space="preserve">вестиційного портфелів;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8) калькулювання цін на банківські послуги; </w:t>
      </w:r>
    </w:p>
    <w:p w:rsidR="00AF7E49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>9) додаткові питання з управління активами та пасивами.</w:t>
      </w:r>
    </w:p>
    <w:p w:rsidR="00EE2F4B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>Прийняті Комітетом управлінсь</w:t>
      </w:r>
      <w:r w:rsidR="00EE2F4B">
        <w:rPr>
          <w:lang w:val="uk-UA"/>
        </w:rPr>
        <w:t>кі рішення виконуються працівни</w:t>
      </w:r>
      <w:r w:rsidRPr="00AF7E49">
        <w:rPr>
          <w:lang w:val="uk-UA"/>
        </w:rPr>
        <w:t>ками казначейства банку та інших структурних підрозділів з відповідних напрямів діяльності.</w:t>
      </w:r>
    </w:p>
    <w:p w:rsidR="00EE2F4B" w:rsidRDefault="00AF7E49" w:rsidP="00564584">
      <w:pPr>
        <w:spacing w:line="240" w:lineRule="auto"/>
        <w:ind w:firstLine="709"/>
        <w:rPr>
          <w:lang w:val="uk-UA"/>
        </w:rPr>
      </w:pPr>
      <w:r w:rsidRPr="00AF7E49">
        <w:rPr>
          <w:lang w:val="uk-UA"/>
        </w:rPr>
        <w:t xml:space="preserve"> </w:t>
      </w:r>
      <w:r w:rsidRPr="00EE2F4B">
        <w:rPr>
          <w:b/>
        </w:rPr>
        <w:t>Казначейство, або департамент активних і пасивних операцій</w:t>
      </w:r>
      <w:r>
        <w:t xml:space="preserve">, є основним робочим </w:t>
      </w:r>
      <w:proofErr w:type="gramStart"/>
      <w:r>
        <w:t>п</w:t>
      </w:r>
      <w:proofErr w:type="gramEnd"/>
      <w:r>
        <w:t>ідрозділом</w:t>
      </w:r>
      <w:r w:rsidR="00EE2F4B">
        <w:t xml:space="preserve"> комерційного банку, який реалі</w:t>
      </w:r>
      <w:r>
        <w:t>зує управлінські рішення КУАП. Казначейство комерційного ба</w:t>
      </w:r>
      <w:r w:rsidR="00EE2F4B">
        <w:t xml:space="preserve">нку </w:t>
      </w:r>
      <w:r w:rsidR="00EE2F4B">
        <w:rPr>
          <w:lang w:val="uk-UA"/>
        </w:rPr>
        <w:t>-</w:t>
      </w:r>
      <w:r w:rsidR="00EE2F4B">
        <w:t xml:space="preserve"> це організаційна струк</w:t>
      </w:r>
      <w:r>
        <w:t>тура, що займається здійснення</w:t>
      </w:r>
      <w:r w:rsidR="00EE2F4B">
        <w:t>м фінансових операцій на відкри</w:t>
      </w:r>
      <w:r>
        <w:t xml:space="preserve">тих фінансових ринках </w:t>
      </w:r>
      <w:r w:rsidR="00EE2F4B">
        <w:rPr>
          <w:lang w:val="uk-UA"/>
        </w:rPr>
        <w:t xml:space="preserve">- </w:t>
      </w:r>
      <w:r>
        <w:t>валютному, грошовому, фондовому, ринку капіталі</w:t>
      </w:r>
      <w:proofErr w:type="gramStart"/>
      <w:r>
        <w:t>в</w:t>
      </w:r>
      <w:proofErr w:type="gramEnd"/>
      <w:r>
        <w:t xml:space="preserve">, ринку деривативів. </w:t>
      </w:r>
    </w:p>
    <w:p w:rsidR="00EE2F4B" w:rsidRDefault="00AF7E49" w:rsidP="00564584">
      <w:pPr>
        <w:spacing w:line="240" w:lineRule="auto"/>
        <w:ind w:firstLine="709"/>
        <w:rPr>
          <w:lang w:val="uk-UA"/>
        </w:rPr>
      </w:pPr>
      <w:r w:rsidRPr="00EE2F4B">
        <w:rPr>
          <w:b/>
          <w:lang w:val="uk-UA"/>
        </w:rPr>
        <w:lastRenderedPageBreak/>
        <w:t>Цілями діяльності казначейства</w:t>
      </w:r>
      <w:r w:rsidRPr="00EE2F4B">
        <w:rPr>
          <w:lang w:val="uk-UA"/>
        </w:rPr>
        <w:t xml:space="preserve"> є зниження загального рівня ризиків банку, збереження л</w:t>
      </w:r>
      <w:r w:rsidR="00EE2F4B">
        <w:rPr>
          <w:lang w:val="uk-UA"/>
        </w:rPr>
        <w:t>іквідності, підвищення прибутко</w:t>
      </w:r>
      <w:r w:rsidRPr="00EE2F4B">
        <w:rPr>
          <w:lang w:val="uk-UA"/>
        </w:rPr>
        <w:t xml:space="preserve">вості, розширення активно-пасивних операцій банку. </w:t>
      </w:r>
    </w:p>
    <w:p w:rsidR="00AF7E49" w:rsidRDefault="00EE2F4B" w:rsidP="00564584">
      <w:pPr>
        <w:spacing w:line="240" w:lineRule="auto"/>
        <w:ind w:firstLine="709"/>
        <w:rPr>
          <w:lang w:val="uk-UA"/>
        </w:rPr>
      </w:pPr>
      <w:r w:rsidRPr="00EE2F4B">
        <w:rPr>
          <w:lang w:val="uk-UA"/>
        </w:rPr>
        <w:t>У казначей</w:t>
      </w:r>
      <w:r w:rsidR="00AF7E49" w:rsidRPr="00EE2F4B">
        <w:rPr>
          <w:lang w:val="uk-UA"/>
        </w:rPr>
        <w:t>стві концентрується інформація не лише про стан зовнішніх фінансових ринків, але й про ді</w:t>
      </w:r>
      <w:r>
        <w:rPr>
          <w:lang w:val="uk-UA"/>
        </w:rPr>
        <w:t>йсну внутрішню вартість та ефек</w:t>
      </w:r>
      <w:r w:rsidR="00AF7E49" w:rsidRPr="00EE2F4B">
        <w:rPr>
          <w:lang w:val="uk-UA"/>
        </w:rPr>
        <w:t xml:space="preserve">тивність використання банківських ресурсів. </w:t>
      </w:r>
      <w:r w:rsidR="00AF7E49">
        <w:t>Маючи широкий спектр інформації про поточни</w:t>
      </w:r>
      <w:r>
        <w:t>й стан фінансових ринків, казна</w:t>
      </w:r>
      <w:r w:rsidR="00AF7E49">
        <w:t>чейство бере участь у формуванні зовнішньої та внутрішньої цінової політики банку. Казначейство обґрунтовує курси купі</w:t>
      </w:r>
      <w:proofErr w:type="gramStart"/>
      <w:r w:rsidR="00AF7E49">
        <w:t>вл</w:t>
      </w:r>
      <w:proofErr w:type="gramEnd"/>
      <w:r w:rsidR="00AF7E49">
        <w:t>і</w:t>
      </w:r>
      <w:r w:rsidR="00AF7E49">
        <w:t>продажу іноземних валют, рівень пропонован</w:t>
      </w:r>
      <w:r>
        <w:t>их відсоткових ста</w:t>
      </w:r>
      <w:r w:rsidR="00AF7E49">
        <w:t>вок, формує політику трансфертного ціноутворення.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i/>
          <w:lang w:val="uk-UA"/>
        </w:rPr>
        <w:t>Трансфертна ціна</w:t>
      </w:r>
      <w:r w:rsidRPr="00BD5B51">
        <w:rPr>
          <w:lang w:val="uk-UA"/>
        </w:rPr>
        <w:t xml:space="preserve"> показує в</w:t>
      </w:r>
      <w:r>
        <w:rPr>
          <w:lang w:val="uk-UA"/>
        </w:rPr>
        <w:t>нутрішню вартість ресурсів у си</w:t>
      </w:r>
      <w:r w:rsidRPr="00BD5B51">
        <w:rPr>
          <w:lang w:val="uk-UA"/>
        </w:rPr>
        <w:t xml:space="preserve">стемі банку з урахуванням ринкових індикаторів (ставка МБК, облікова ставка НБУ, ставка </w:t>
      </w:r>
      <w:r>
        <w:rPr>
          <w:lang w:val="uk-UA"/>
        </w:rPr>
        <w:t>розміщення ОВДП). Система транс</w:t>
      </w:r>
      <w:r w:rsidRPr="00BD5B51">
        <w:rPr>
          <w:lang w:val="uk-UA"/>
        </w:rPr>
        <w:t>фертного ціноутворення дозволяє оптимізувати політику банку щодо управління активами та па</w:t>
      </w:r>
      <w:r>
        <w:rPr>
          <w:lang w:val="uk-UA"/>
        </w:rPr>
        <w:t>сивами і разом з тим виявити ви</w:t>
      </w:r>
      <w:r w:rsidRPr="00BD5B51">
        <w:rPr>
          <w:lang w:val="uk-UA"/>
        </w:rPr>
        <w:t xml:space="preserve">сокорентабельні чи навпаки, збиткові банківські продукти. </w:t>
      </w:r>
      <w:r>
        <w:t xml:space="preserve">Впровадження системи трансфертних цін стимулює ефективну діяльність </w:t>
      </w:r>
      <w:proofErr w:type="gramStart"/>
      <w:r>
        <w:t>п</w:t>
      </w:r>
      <w:proofErr w:type="gramEnd"/>
      <w:r>
        <w:t>ідрозділів банку</w:t>
      </w:r>
      <w:r>
        <w:rPr>
          <w:lang w:val="uk-UA"/>
        </w:rPr>
        <w:t>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t>Кожен банк очолює Правління або Рада директорі</w:t>
      </w:r>
      <w:proofErr w:type="gramStart"/>
      <w:r>
        <w:t>в</w:t>
      </w:r>
      <w:proofErr w:type="gramEnd"/>
      <w:r>
        <w:t xml:space="preserve">, </w:t>
      </w:r>
      <w:proofErr w:type="gramStart"/>
      <w:r>
        <w:t>до</w:t>
      </w:r>
      <w:proofErr w:type="gramEnd"/>
      <w:r>
        <w:t xml:space="preserve"> складу якої включають фінансового директора, директора з аудиту, виконавчого директора, хоча перелік керівних посад залежно від напрямів діяльності та потреб банку може бути і ширший. Обов’язковою вимогою є те, щоб функціональні обов’язки директорів та </w:t>
      </w:r>
      <w:proofErr w:type="gramStart"/>
      <w:r>
        <w:t>п</w:t>
      </w:r>
      <w:proofErr w:type="gramEnd"/>
      <w:r>
        <w:t>ідпорядкованість ї</w:t>
      </w:r>
      <w:r>
        <w:rPr>
          <w:lang w:val="uk-UA"/>
        </w:rPr>
        <w:t>м окремих підрозділів не пересікалися.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t xml:space="preserve">Наступний щабель в ієрархічній структурі займає казначей банку, який очолює казначейство і </w:t>
      </w:r>
      <w:proofErr w:type="gramStart"/>
      <w:r>
        <w:t>п</w:t>
      </w:r>
      <w:proofErr w:type="gramEnd"/>
      <w:r>
        <w:t>ідпорядковується Раді директорів. Власне казначейство як організаційна одиниця банку складається з трьох структурних підрозділів: фронт-офіс (front-office), мідл-офіс (middle-office) та бек-офіс (back-office).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t>Кожен із офі</w:t>
      </w:r>
      <w:proofErr w:type="gramStart"/>
      <w:r>
        <w:t>с</w:t>
      </w:r>
      <w:proofErr w:type="gramEnd"/>
      <w:r>
        <w:t xml:space="preserve">ів має власне призначення </w:t>
      </w:r>
      <w:proofErr w:type="gramStart"/>
      <w:r>
        <w:t>та</w:t>
      </w:r>
      <w:proofErr w:type="gramEnd"/>
      <w:r>
        <w:t xml:space="preserve"> функції. Так, </w:t>
      </w:r>
      <w:r w:rsidRPr="00BD5B51">
        <w:rPr>
          <w:u w:val="single"/>
        </w:rPr>
        <w:t>фронт-офіс</w:t>
      </w:r>
      <w:r>
        <w:t xml:space="preserve"> займається проведенням операцій на відкритих фінансових ринках і забезпечує виконання основних функцій казначейства банку.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>Структура фрон</w:t>
      </w:r>
      <w:r>
        <w:rPr>
          <w:lang w:val="uk-UA"/>
        </w:rPr>
        <w:t>т-офісу складається з таких від</w:t>
      </w:r>
      <w:r w:rsidRPr="00BD5B51">
        <w:rPr>
          <w:lang w:val="uk-UA"/>
        </w:rPr>
        <w:t xml:space="preserve">ділів: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1) валютних (ділингових) операцій;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2) операцій на грошовому ринку (короткострокові);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3) операцій на ринку капіталів (довгострокові);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4) операцій з деривативами;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5) емісійних операцій;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6) операцій з акціонерним капіталом;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7) власних торгових операцій;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>8) управління активами та пасивами.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u w:val="single"/>
          <w:lang w:val="uk-UA"/>
        </w:rPr>
        <w:t>Мідл-офіс</w:t>
      </w:r>
      <w:r w:rsidRPr="00BD5B51">
        <w:rPr>
          <w:lang w:val="uk-UA"/>
        </w:rPr>
        <w:t xml:space="preserve"> забезпечує дотрим</w:t>
      </w:r>
      <w:r>
        <w:rPr>
          <w:lang w:val="uk-UA"/>
        </w:rPr>
        <w:t>ання законодавчих вимог та внут</w:t>
      </w:r>
      <w:r w:rsidRPr="00BD5B51">
        <w:rPr>
          <w:lang w:val="uk-UA"/>
        </w:rPr>
        <w:t>рішньобанківських правил і лімітів під час проведен</w:t>
      </w:r>
      <w:r>
        <w:rPr>
          <w:lang w:val="uk-UA"/>
        </w:rPr>
        <w:t>ня казначей</w:t>
      </w:r>
      <w:r w:rsidRPr="00BD5B51">
        <w:rPr>
          <w:lang w:val="uk-UA"/>
        </w:rPr>
        <w:t xml:space="preserve">ських операцій банку. </w:t>
      </w:r>
      <w:r>
        <w:t xml:space="preserve">Основна його функція полягає в проведенні аудиту операцій, здійснених працівниками фронт-офісу, в режимі моніторингу. Всі повідомлення, що надходять з фронт-офісу, фіксуються в комп’ютерній мережі мідл-офісу та контролюються на предмет відповідності лімітам, встановленим </w:t>
      </w:r>
      <w:r>
        <w:lastRenderedPageBreak/>
        <w:t xml:space="preserve">як за клієнтськими, так і за власними операціями банку. Також контролюється додержання особистих лімітів дилерами </w:t>
      </w:r>
      <w:proofErr w:type="gramStart"/>
      <w:r>
        <w:t>р</w:t>
      </w:r>
      <w:proofErr w:type="gramEnd"/>
      <w:r>
        <w:t>ізних рангів.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>Після реєстрації в мідл-офісі</w:t>
      </w:r>
      <w:r>
        <w:rPr>
          <w:lang w:val="uk-UA"/>
        </w:rPr>
        <w:t xml:space="preserve"> інформація про здійснені фронт-</w:t>
      </w:r>
      <w:r w:rsidRPr="00BD5B51">
        <w:rPr>
          <w:lang w:val="uk-UA"/>
        </w:rPr>
        <w:t xml:space="preserve">офісом фінансові операції надходить у </w:t>
      </w:r>
      <w:r w:rsidRPr="00BD5B51">
        <w:rPr>
          <w:u w:val="single"/>
          <w:lang w:val="uk-UA"/>
        </w:rPr>
        <w:t>бек-офіс.</w:t>
      </w:r>
      <w:r w:rsidRPr="00BD5B51">
        <w:rPr>
          <w:lang w:val="uk-UA"/>
        </w:rPr>
        <w:t xml:space="preserve"> </w:t>
      </w:r>
      <w:r>
        <w:t>Тут всі повідомлення, одержані у вигляді комп’ютерних слі</w:t>
      </w:r>
      <w:proofErr w:type="gramStart"/>
      <w:r>
        <w:t>п</w:t>
      </w:r>
      <w:proofErr w:type="gramEnd"/>
      <w:r>
        <w:t>ів (тікетів), перевіряються на наявність необхідних реквізитів та відповідного документального підтвердження. Надалі робляться бухгалтерські проведення, а в деяких банках складається навіть власний баланс казначейства. Отже, бек-офіс виконує функції бухгалтерії казначейства.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t>Важливу складову в процесі управління фінансами комерційного банку становить аналіз інформаційних потокі</w:t>
      </w:r>
      <w:proofErr w:type="gramStart"/>
      <w:r>
        <w:t>в</w:t>
      </w:r>
      <w:proofErr w:type="gramEnd"/>
      <w:r>
        <w:t>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 xml:space="preserve">Фінансово-аналітична служба банку виконує такі функції: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rPr>
          <w:lang w:val="uk-UA"/>
        </w:rPr>
        <w:t>1</w:t>
      </w:r>
      <w:r>
        <w:sym w:font="Symbol" w:char="F02E"/>
      </w:r>
      <w:r w:rsidRPr="00BD5B51">
        <w:rPr>
          <w:lang w:val="uk-UA"/>
        </w:rPr>
        <w:t xml:space="preserve"> збір первинної інформації;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sym w:font="Symbol" w:char="F032"/>
      </w:r>
      <w:r>
        <w:sym w:font="Symbol" w:char="F02E"/>
      </w:r>
      <w:r w:rsidRPr="00BD5B51">
        <w:rPr>
          <w:lang w:val="uk-UA"/>
        </w:rPr>
        <w:t xml:space="preserve"> фіксація інформації, що надходить із зовнішнього середовища та локальних баз даних (підрозділів) банку;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rPr>
          <w:lang w:val="uk-UA"/>
        </w:rPr>
        <w:t>3.</w:t>
      </w:r>
      <w:r w:rsidRPr="00BD5B51">
        <w:rPr>
          <w:lang w:val="uk-UA"/>
        </w:rPr>
        <w:t xml:space="preserve"> обробка та систематизація інформації;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rPr>
          <w:lang w:val="uk-UA"/>
        </w:rPr>
        <w:t>4.</w:t>
      </w:r>
      <w:r w:rsidRPr="00BD5B51">
        <w:rPr>
          <w:lang w:val="uk-UA"/>
        </w:rPr>
        <w:t xml:space="preserve"> аналіз; 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  <w:r>
        <w:rPr>
          <w:lang w:val="uk-UA"/>
        </w:rPr>
        <w:t>5.</w:t>
      </w:r>
      <w:r w:rsidRPr="00BD5B51">
        <w:rPr>
          <w:lang w:val="uk-UA"/>
        </w:rPr>
        <w:t xml:space="preserve">структурування; </w:t>
      </w:r>
    </w:p>
    <w:p w:rsidR="00BD5B51" w:rsidRPr="00BD5B51" w:rsidRDefault="00BD5B51" w:rsidP="00564584">
      <w:pPr>
        <w:spacing w:line="240" w:lineRule="auto"/>
        <w:ind w:firstLine="709"/>
        <w:rPr>
          <w:lang w:val="uk-UA"/>
        </w:rPr>
      </w:pPr>
      <w:r>
        <w:rPr>
          <w:lang w:val="uk-UA"/>
        </w:rPr>
        <w:t>6.</w:t>
      </w:r>
      <w:r w:rsidRPr="00BD5B51">
        <w:rPr>
          <w:lang w:val="uk-UA"/>
        </w:rPr>
        <w:t xml:space="preserve"> формування звітів (вихідної інформації та баз даних).</w:t>
      </w:r>
    </w:p>
    <w:p w:rsidR="00BD5B51" w:rsidRDefault="00BD5B51" w:rsidP="00564584">
      <w:pPr>
        <w:spacing w:line="240" w:lineRule="auto"/>
        <w:ind w:firstLine="709"/>
        <w:rPr>
          <w:lang w:val="uk-UA"/>
        </w:rPr>
      </w:pPr>
    </w:p>
    <w:p w:rsidR="00BD5B51" w:rsidRPr="00BD5B51" w:rsidRDefault="00BD5B51" w:rsidP="00BD5B51">
      <w:pPr>
        <w:pStyle w:val="a3"/>
        <w:tabs>
          <w:tab w:val="left" w:pos="993"/>
        </w:tabs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BD5B51">
        <w:rPr>
          <w:b/>
          <w:lang w:val="uk-UA"/>
        </w:rPr>
        <w:t>Інструментарій управління активами і пасивами банку.</w:t>
      </w:r>
    </w:p>
    <w:p w:rsidR="006F3A27" w:rsidRPr="006F3A27" w:rsidRDefault="006F3A27" w:rsidP="006F3A27">
      <w:pPr>
        <w:spacing w:line="240" w:lineRule="auto"/>
        <w:ind w:firstLine="709"/>
        <w:rPr>
          <w:lang w:val="uk-UA"/>
        </w:rPr>
      </w:pPr>
      <w:r w:rsidRPr="006F3A27">
        <w:rPr>
          <w:lang w:val="uk-UA"/>
        </w:rPr>
        <w:t>Розвиток та вдосконалення діяльності фінансових ринків, перетворення їх на світові ри</w:t>
      </w:r>
      <w:r>
        <w:rPr>
          <w:lang w:val="uk-UA"/>
        </w:rPr>
        <w:t>нки, інтенсивне впровадження су</w:t>
      </w:r>
      <w:r w:rsidRPr="006F3A27">
        <w:rPr>
          <w:lang w:val="uk-UA"/>
        </w:rPr>
        <w:t>часних засобів зв’язку та інфо</w:t>
      </w:r>
      <w:r>
        <w:rPr>
          <w:lang w:val="uk-UA"/>
        </w:rPr>
        <w:t>рмаційних технологій спричинили</w:t>
      </w:r>
      <w:r w:rsidRPr="006F3A27">
        <w:rPr>
          <w:lang w:val="uk-UA"/>
        </w:rPr>
        <w:t>ся до того, що мінливість і непередбачуваність стали основними характеристиками відсоткових ставок. Якщо ризик ліквідності зменшується завдяки можливос</w:t>
      </w:r>
      <w:r>
        <w:rPr>
          <w:lang w:val="uk-UA"/>
        </w:rPr>
        <w:t>тям, які надає розвинений фінан</w:t>
      </w:r>
      <w:r w:rsidRPr="006F3A27">
        <w:rPr>
          <w:lang w:val="uk-UA"/>
        </w:rPr>
        <w:t>совий ринок, то ризик зміни відсоткових ставок на цьому ринку, навпаки, значно зростає</w:t>
      </w:r>
      <w:r>
        <w:rPr>
          <w:lang w:val="uk-UA"/>
        </w:rPr>
        <w:t>.</w:t>
      </w:r>
    </w:p>
    <w:p w:rsidR="00BD5B51" w:rsidRDefault="00BD5B51" w:rsidP="00BD5B5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1.</w:t>
      </w:r>
      <w:r w:rsidRPr="00BD5B51">
        <w:rPr>
          <w:b/>
        </w:rPr>
        <w:t xml:space="preserve">Управління строками розміщення активів </w:t>
      </w:r>
    </w:p>
    <w:p w:rsidR="00BD5B51" w:rsidRDefault="00BD5B51" w:rsidP="00BD5B51">
      <w:pPr>
        <w:spacing w:line="240" w:lineRule="auto"/>
        <w:ind w:firstLine="709"/>
        <w:jc w:val="center"/>
        <w:rPr>
          <w:b/>
          <w:lang w:val="uk-UA"/>
        </w:rPr>
      </w:pPr>
      <w:r w:rsidRPr="00BD5B51">
        <w:rPr>
          <w:b/>
        </w:rPr>
        <w:t>та залучення зобов’язань банку</w:t>
      </w:r>
    </w:p>
    <w:p w:rsidR="00BD5B51" w:rsidRDefault="00BD5B51" w:rsidP="00BD5B51">
      <w:pPr>
        <w:spacing w:line="240" w:lineRule="auto"/>
        <w:ind w:firstLine="709"/>
        <w:rPr>
          <w:lang w:val="uk-UA"/>
        </w:rPr>
      </w:pPr>
      <w:r w:rsidRPr="00BD5B51">
        <w:rPr>
          <w:lang w:val="uk-UA"/>
        </w:rPr>
        <w:t>Узгодження строків ро</w:t>
      </w:r>
      <w:r>
        <w:rPr>
          <w:lang w:val="uk-UA"/>
        </w:rPr>
        <w:t>зміщення активів і залучення зо</w:t>
      </w:r>
      <w:r w:rsidRPr="00BD5B51">
        <w:rPr>
          <w:lang w:val="uk-UA"/>
        </w:rPr>
        <w:t>бов’язань — це один із методів, за допомогою якого банк фіксує спред і нейтралізує р</w:t>
      </w:r>
      <w:r>
        <w:rPr>
          <w:lang w:val="uk-UA"/>
        </w:rPr>
        <w:t xml:space="preserve">изик зміни відсоткової ставки. </w:t>
      </w:r>
    </w:p>
    <w:p w:rsidR="00BD5B51" w:rsidRDefault="00BD5B51" w:rsidP="00BD5B51">
      <w:pPr>
        <w:spacing w:line="240" w:lineRule="auto"/>
        <w:ind w:firstLine="709"/>
        <w:rPr>
          <w:lang w:val="uk-UA"/>
        </w:rPr>
      </w:pPr>
      <w:r w:rsidRPr="00BD5B51">
        <w:rPr>
          <w:u w:val="single"/>
        </w:rPr>
        <w:t xml:space="preserve">Збалансований за строками </w:t>
      </w:r>
      <w:proofErr w:type="gramStart"/>
      <w:r w:rsidRPr="00BD5B51">
        <w:rPr>
          <w:u w:val="single"/>
        </w:rPr>
        <w:t>п</w:t>
      </w:r>
      <w:proofErr w:type="gramEnd"/>
      <w:r w:rsidRPr="00BD5B51">
        <w:rPr>
          <w:u w:val="single"/>
        </w:rPr>
        <w:t>ідхід</w:t>
      </w:r>
      <w:r>
        <w:t xml:space="preserve"> передбачає встановлення повної відповідності між термінами залучення та розміщення коштів. Такий прийом не максимізує, а стабілізує прибуток, мінімізуючи відсотковий ризик. Застосовується в разі управління банком </w:t>
      </w:r>
      <w:proofErr w:type="gramStart"/>
      <w:r>
        <w:t>за</w:t>
      </w:r>
      <w:proofErr w:type="gramEnd"/>
      <w:r>
        <w:t xml:space="preserve"> стратегією мінімізації ризиків.</w:t>
      </w:r>
    </w:p>
    <w:p w:rsidR="006F3A27" w:rsidRDefault="006F3A27" w:rsidP="00BD5B51">
      <w:pPr>
        <w:spacing w:line="240" w:lineRule="auto"/>
        <w:ind w:firstLine="709"/>
        <w:rPr>
          <w:lang w:val="uk-UA"/>
        </w:rPr>
      </w:pPr>
      <w:r w:rsidRPr="006F3A27">
        <w:rPr>
          <w:u w:val="single"/>
        </w:rPr>
        <w:t xml:space="preserve">Незбалансований за строками </w:t>
      </w:r>
      <w:proofErr w:type="gramStart"/>
      <w:r w:rsidRPr="006F3A27">
        <w:rPr>
          <w:u w:val="single"/>
        </w:rPr>
        <w:t>п</w:t>
      </w:r>
      <w:proofErr w:type="gramEnd"/>
      <w:r w:rsidRPr="006F3A27">
        <w:rPr>
          <w:u w:val="single"/>
        </w:rPr>
        <w:t>ідхід</w:t>
      </w:r>
      <w:r>
        <w:t xml:space="preserve"> є альтернативним прийомом управління, який надає потенційні можливості одержання підвищених прибутків за рахунок зміни відсоткових ставок на ринку. Використання цього </w:t>
      </w:r>
      <w:proofErr w:type="gramStart"/>
      <w:r>
        <w:t>п</w:t>
      </w:r>
      <w:proofErr w:type="gramEnd"/>
      <w:r>
        <w:t xml:space="preserve">ідходу базується на прогнозі зміни швидкості, напряму та величини відсоткових ставок на ринку. Згідно з незбалансованим </w:t>
      </w:r>
      <w:proofErr w:type="gramStart"/>
      <w:r>
        <w:t>п</w:t>
      </w:r>
      <w:proofErr w:type="gramEnd"/>
      <w:r>
        <w:t xml:space="preserve">ідходом до управління строки залучення коштів мають бути коротшими за строки їх розміщення, якщо прогноз свідчить про майбутнє зниження відсоткових ставок. І навпаки — строки виконання зобов’язань банку мають перевищувати строки за активами, якщо прогнозується зростання ставок. Цей </w:t>
      </w:r>
      <w:proofErr w:type="gramStart"/>
      <w:r>
        <w:t>п</w:t>
      </w:r>
      <w:proofErr w:type="gramEnd"/>
      <w:r>
        <w:t xml:space="preserve">ідхід дозволяє максимізувати </w:t>
      </w:r>
      <w:r>
        <w:lastRenderedPageBreak/>
        <w:t>прибуток, але супроводжується підвищеним ризиком, пов’язаним із невизначеністю зміни відсоткових ставок. Якщо прогноз стосовно відсоткових ставок не виправдається, то банк може зазнати збиткі</w:t>
      </w:r>
      <w:proofErr w:type="gramStart"/>
      <w:r>
        <w:t>в</w:t>
      </w:r>
      <w:proofErr w:type="gramEnd"/>
      <w:r>
        <w:t>.</w:t>
      </w:r>
    </w:p>
    <w:p w:rsidR="006F3A27" w:rsidRDefault="006F3A27" w:rsidP="00BD5B51">
      <w:pPr>
        <w:spacing w:line="240" w:lineRule="auto"/>
        <w:ind w:firstLine="709"/>
        <w:rPr>
          <w:lang w:val="uk-UA"/>
        </w:rPr>
      </w:pPr>
      <w:r w:rsidRPr="006F3A27">
        <w:rPr>
          <w:u w:val="single"/>
        </w:rPr>
        <w:t>Тактика структурного балансування активів і пасивів</w:t>
      </w:r>
      <w:r>
        <w:t xml:space="preserve"> може застосовуватись як щодо строків, так і щодо обсягів залучених та розміщених коштів. Сутність </w:t>
      </w:r>
      <w:proofErr w:type="gramStart"/>
      <w:r>
        <w:t>п</w:t>
      </w:r>
      <w:proofErr w:type="gramEnd"/>
      <w:r>
        <w:t>ідходу зводиться до намагання максимально наблизити обсяги активних і пасивних операцій, які мають однакові строки виконання. Інакше кажучи, банк щоразу намагається обрати той напрям розміщення коштів, який дозволить повністю узгодити структуру активі</w:t>
      </w:r>
      <w:proofErr w:type="gramStart"/>
      <w:r>
        <w:t>в</w:t>
      </w:r>
      <w:proofErr w:type="gramEnd"/>
      <w:r>
        <w:t xml:space="preserve"> і зобов’язань. </w:t>
      </w:r>
    </w:p>
    <w:p w:rsidR="006F3A27" w:rsidRDefault="006F3A27" w:rsidP="00BD5B51">
      <w:pPr>
        <w:spacing w:line="240" w:lineRule="auto"/>
        <w:ind w:firstLine="709"/>
        <w:rPr>
          <w:lang w:val="uk-UA"/>
        </w:rPr>
      </w:pPr>
      <w:r>
        <w:t xml:space="preserve">До </w:t>
      </w:r>
      <w:r w:rsidRPr="006F3A27">
        <w:rPr>
          <w:u w:val="single"/>
        </w:rPr>
        <w:t xml:space="preserve">переваг </w:t>
      </w:r>
      <w:r>
        <w:t xml:space="preserve">цієї групи методів можна віднести простоту та доступність, особливо важливі </w:t>
      </w:r>
      <w:proofErr w:type="gramStart"/>
      <w:r>
        <w:t>для</w:t>
      </w:r>
      <w:proofErr w:type="gramEnd"/>
      <w:r>
        <w:t xml:space="preserve"> вітчизняних банків за браком інших можливостей, які надає розвинений фінансовий ринок. </w:t>
      </w:r>
    </w:p>
    <w:p w:rsidR="006F3A27" w:rsidRDefault="006F3A27" w:rsidP="00BD5B51">
      <w:pPr>
        <w:spacing w:line="240" w:lineRule="auto"/>
        <w:ind w:firstLine="709"/>
        <w:rPr>
          <w:lang w:val="uk-UA"/>
        </w:rPr>
      </w:pPr>
      <w:r w:rsidRPr="006F3A27">
        <w:rPr>
          <w:u w:val="single"/>
        </w:rPr>
        <w:t>Недоліки</w:t>
      </w:r>
      <w:r>
        <w:t xml:space="preserve"> полягають у недостатній гнучкості, необхідності проведення реструктуризації балансу у зв’язку зі змінами ринкових ставок, браку достатнього простору </w:t>
      </w:r>
      <w:proofErr w:type="gramStart"/>
      <w:r>
        <w:t>для</w:t>
      </w:r>
      <w:proofErr w:type="gramEnd"/>
      <w:r>
        <w:t xml:space="preserve"> маневру. Вимога приведення у відповідність структури активів і пасивів перешкоджає повному врахуванню потреб клієнтів, коли йдеться про укладення кредитних і депозитних угод, потребує деякого часу і може стати неприйнятною для щоденного управління </w:t>
      </w:r>
      <w:proofErr w:type="gramStart"/>
      <w:r>
        <w:t>в</w:t>
      </w:r>
      <w:proofErr w:type="gramEnd"/>
      <w:r>
        <w:t>ідсотковим ризиком. Проведення збалансованих операцій не завжди відповідає потребам банку, його планам на майбутн</w:t>
      </w:r>
      <w:proofErr w:type="gramStart"/>
      <w:r>
        <w:t>є,</w:t>
      </w:r>
      <w:proofErr w:type="gramEnd"/>
      <w:r>
        <w:t xml:space="preserve"> а іноді невигідне з погляду витрат.</w:t>
      </w:r>
    </w:p>
    <w:p w:rsidR="006F3A27" w:rsidRPr="006F3A27" w:rsidRDefault="006F3A27" w:rsidP="006F3A27">
      <w:pPr>
        <w:pStyle w:val="a3"/>
        <w:numPr>
          <w:ilvl w:val="0"/>
          <w:numId w:val="2"/>
        </w:numPr>
        <w:spacing w:line="240" w:lineRule="auto"/>
        <w:jc w:val="center"/>
        <w:rPr>
          <w:b/>
          <w:lang w:val="uk-UA"/>
        </w:rPr>
      </w:pPr>
      <w:r w:rsidRPr="006F3A27">
        <w:rPr>
          <w:b/>
        </w:rPr>
        <w:t>Геп-менеджмент</w:t>
      </w:r>
    </w:p>
    <w:p w:rsidR="006F3A27" w:rsidRDefault="006F3A27" w:rsidP="006F3A27">
      <w:pPr>
        <w:pStyle w:val="a3"/>
        <w:spacing w:line="240" w:lineRule="auto"/>
        <w:ind w:left="0" w:firstLine="709"/>
        <w:rPr>
          <w:lang w:val="uk-UA"/>
        </w:rPr>
      </w:pPr>
      <w:r>
        <w:t xml:space="preserve">У процесі управління активами та зобов’язаннями для встановлення контролю над </w:t>
      </w:r>
      <w:proofErr w:type="gramStart"/>
      <w:r>
        <w:t>р</w:t>
      </w:r>
      <w:proofErr w:type="gramEnd"/>
      <w:r>
        <w:t>івнем ризику відсоткової ставки оцінюється чутливість окремих статей та банківського балансу в цілому до відсоткового ризику. Індикатором чутливості балансу до відсоткового ризику є показник гепу (від англ. gap — розрив, дисбаланс).</w:t>
      </w:r>
    </w:p>
    <w:p w:rsidR="006F3A27" w:rsidRDefault="006F3A27" w:rsidP="006F3A27">
      <w:pPr>
        <w:pStyle w:val="a3"/>
        <w:spacing w:line="240" w:lineRule="auto"/>
        <w:ind w:left="0" w:firstLine="709"/>
        <w:rPr>
          <w:lang w:val="uk-UA"/>
        </w:rPr>
      </w:pPr>
      <w:r>
        <w:t xml:space="preserve">Для визначення показника гепу всі активи і пасиви банку поділяють на дві групи — чутливі до змін відсоткової ставки та нечутливі до </w:t>
      </w:r>
      <w:proofErr w:type="gramStart"/>
      <w:r>
        <w:t>таких</w:t>
      </w:r>
      <w:proofErr w:type="gramEnd"/>
      <w:r>
        <w:t xml:space="preserve"> змін</w:t>
      </w:r>
      <w:r>
        <w:rPr>
          <w:lang w:val="uk-UA"/>
        </w:rPr>
        <w:t>.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>
        <w:t xml:space="preserve">Для цього весь часовий горизонт, протягом якого банк планує проаналізувати відсотковий ризик, поділяють </w:t>
      </w:r>
      <w:proofErr w:type="gramStart"/>
      <w:r>
        <w:t>на</w:t>
      </w:r>
      <w:proofErr w:type="gramEnd"/>
      <w:r>
        <w:t xml:space="preserve"> періоди (часові інтервали). У межах </w:t>
      </w:r>
      <w:proofErr w:type="gramStart"/>
      <w:r>
        <w:t>кожного</w:t>
      </w:r>
      <w:proofErr w:type="gramEnd"/>
      <w:r>
        <w:t xml:space="preserve"> з періодів структура балансу вважається фіксованою. Це дозволяє управляти спі</w:t>
      </w:r>
      <w:proofErr w:type="gramStart"/>
      <w:r>
        <w:t>вв</w:t>
      </w:r>
      <w:proofErr w:type="gramEnd"/>
      <w:r>
        <w:t xml:space="preserve">ідношеннями обсягів різних видів активів і зобов’язань, елімінуючи вплив такого параметра, як час. Тривалість цих часових інтервалів </w:t>
      </w:r>
      <w:proofErr w:type="gramStart"/>
      <w:r>
        <w:t>обирається</w:t>
      </w:r>
      <w:proofErr w:type="gramEnd"/>
      <w:r>
        <w:t xml:space="preserve"> довільно, наприклад, відповідно до прогнозованих моментів зміни відсоткових ставок на ринку (здебільшого 90 днів).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 w:rsidRPr="00C60B6D">
        <w:rPr>
          <w:lang w:val="uk-UA"/>
        </w:rPr>
        <w:t xml:space="preserve">Актив чи пасив є чутливим до змін відсоткової ставки, якщо впродовж зафіксованого інтервалу він задовольнятиме принаймні одну з таких умов: 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A8"/>
      </w:r>
      <w:r w:rsidRPr="00C60B6D">
        <w:rPr>
          <w:lang w:val="uk-UA"/>
        </w:rPr>
        <w:t>дата перегляду плаваючої відсоткової ставки потрапляє в межі зафіксованого часового інтервалу;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 w:rsidRPr="00C60B6D">
        <w:rPr>
          <w:lang w:val="uk-UA"/>
        </w:rPr>
        <w:t xml:space="preserve"> </w:t>
      </w:r>
      <w:r>
        <w:sym w:font="Symbol" w:char="F0A8"/>
      </w:r>
      <w:r w:rsidRPr="00C60B6D">
        <w:rPr>
          <w:lang w:val="uk-UA"/>
        </w:rPr>
        <w:t xml:space="preserve">строк погашення настає в цьому інтервалі; 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A8"/>
      </w:r>
      <w:r w:rsidRPr="00C60B6D">
        <w:rPr>
          <w:lang w:val="uk-UA"/>
        </w:rPr>
        <w:t xml:space="preserve">термін проміжної або часткової виплати основної суми настає в зафіксованому інтервалі; 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>
        <w:lastRenderedPageBreak/>
        <w:sym w:font="Symbol" w:char="F0A8"/>
      </w:r>
      <w:r w:rsidRPr="00C60B6D">
        <w:rPr>
          <w:lang w:val="uk-UA"/>
        </w:rPr>
        <w:t>зміна базової ставки (наприклад, облікової ставки НБУ), покладеної в основу ціноутворе</w:t>
      </w:r>
      <w:r>
        <w:rPr>
          <w:lang w:val="uk-UA"/>
        </w:rPr>
        <w:t>ння активу чи зобов’язання, мож</w:t>
      </w:r>
      <w:r w:rsidRPr="00C60B6D">
        <w:rPr>
          <w:lang w:val="uk-UA"/>
        </w:rPr>
        <w:t xml:space="preserve">лива або очікується протягом цього самого часового інтервалу і не контролюється банком. 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>
        <w:t xml:space="preserve">До нечутливих активів та зобов’язань належать такі, доходи та витрати за якими впродовж аналізованого періоду не залежать від зміни відсоткових ставок </w:t>
      </w:r>
      <w:proofErr w:type="gramStart"/>
      <w:r>
        <w:t>на</w:t>
      </w:r>
      <w:proofErr w:type="gramEnd"/>
      <w:r>
        <w:t xml:space="preserve"> ринку. </w:t>
      </w:r>
    </w:p>
    <w:p w:rsidR="00C60B6D" w:rsidRDefault="00C60B6D" w:rsidP="006F3A27">
      <w:pPr>
        <w:pStyle w:val="a3"/>
        <w:spacing w:line="240" w:lineRule="auto"/>
        <w:ind w:left="0" w:firstLine="709"/>
        <w:rPr>
          <w:lang w:val="uk-UA"/>
        </w:rPr>
      </w:pPr>
      <w:r w:rsidRPr="00C60B6D">
        <w:rPr>
          <w:b/>
          <w:lang w:val="uk-UA"/>
        </w:rPr>
        <w:t>Показник гепу визначається</w:t>
      </w:r>
      <w:r>
        <w:rPr>
          <w:lang w:val="uk-UA"/>
        </w:rPr>
        <w:t xml:space="preserve"> як різниця між величиною чутли</w:t>
      </w:r>
      <w:r w:rsidRPr="00C60B6D">
        <w:rPr>
          <w:lang w:val="uk-UA"/>
        </w:rPr>
        <w:t>вих активів та чутливих зобов’язань банку в кожному</w:t>
      </w:r>
      <w:r>
        <w:rPr>
          <w:lang w:val="uk-UA"/>
        </w:rPr>
        <w:t xml:space="preserve"> із зафіксо</w:t>
      </w:r>
      <w:r w:rsidRPr="00C60B6D">
        <w:rPr>
          <w:lang w:val="uk-UA"/>
        </w:rPr>
        <w:t>ваних інтервалів:</w:t>
      </w:r>
    </w:p>
    <w:p w:rsidR="00C60B6D" w:rsidRPr="00C60B6D" w:rsidRDefault="00C60B6D" w:rsidP="006F3A27">
      <w:pPr>
        <w:pStyle w:val="a3"/>
        <w:spacing w:line="240" w:lineRule="auto"/>
        <w:ind w:left="0"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GAP</m:t>
              </m:r>
            </m:e>
            <m:sub>
              <m:r>
                <w:rPr>
                  <w:rFonts w:ascii="Cambria Math" w:hAnsi="Cambria Math"/>
                  <w:lang w:val="uk-UA"/>
                </w:rPr>
                <m:t>(t)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FA</m:t>
              </m:r>
            </m:e>
            <m:sub>
              <m:r>
                <w:rPr>
                  <w:rFonts w:ascii="Cambria Math" w:hAnsi="Cambria Math"/>
                  <w:lang w:val="uk-UA"/>
                </w:rPr>
                <m:t>(t)</m:t>
              </m:r>
            </m:sub>
          </m:sSub>
          <m:r>
            <w:rPr>
              <w:rFonts w:ascii="Cambria Math" w:hAnsi="Cambria Math"/>
              <w:lang w:val="uk-UA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FL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lang w:val="uk-UA"/>
            </w:rPr>
            <m:t>,                                           (7.1</m:t>
          </m:r>
          <m:r>
            <w:rPr>
              <w:rFonts w:ascii="Cambria Math" w:hAnsi="Cambria Math"/>
              <w:lang w:val="uk-UA"/>
            </w:rPr>
            <m:t>)</m:t>
          </m:r>
        </m:oMath>
      </m:oMathPara>
    </w:p>
    <w:p w:rsidR="00C60B6D" w:rsidRDefault="00C60B6D" w:rsidP="00C60B6D">
      <w:pPr>
        <w:pStyle w:val="a3"/>
        <w:spacing w:line="240" w:lineRule="auto"/>
        <w:ind w:left="0" w:firstLine="709"/>
        <w:jc w:val="left"/>
        <w:rPr>
          <w:lang w:val="uk-UA"/>
        </w:rPr>
      </w:pPr>
      <w:r w:rsidRPr="00C60B6D">
        <w:rPr>
          <w:lang w:val="uk-UA"/>
        </w:rPr>
        <w:t xml:space="preserve">де </w:t>
      </w:r>
      <w:r>
        <w:t>GAP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 xml:space="preserve">) — величина гепу (у грошовому вираженні) в періоді </w:t>
      </w:r>
      <w:r>
        <w:t>t</w:t>
      </w:r>
      <w:r w:rsidRPr="00C60B6D">
        <w:rPr>
          <w:lang w:val="uk-UA"/>
        </w:rPr>
        <w:t>;</w:t>
      </w:r>
    </w:p>
    <w:p w:rsidR="00C60B6D" w:rsidRDefault="00C60B6D" w:rsidP="00C60B6D">
      <w:pPr>
        <w:pStyle w:val="a3"/>
        <w:spacing w:line="240" w:lineRule="auto"/>
        <w:ind w:left="0" w:firstLine="709"/>
        <w:jc w:val="left"/>
        <w:rPr>
          <w:lang w:val="uk-UA"/>
        </w:rPr>
      </w:pPr>
      <w:r w:rsidRPr="00C60B6D">
        <w:rPr>
          <w:lang w:val="uk-UA"/>
        </w:rPr>
        <w:t xml:space="preserve"> </w:t>
      </w:r>
      <w:r>
        <w:t>FA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 xml:space="preserve">) — активи, чутливі до зміни відсоткової ставки </w:t>
      </w:r>
      <w:proofErr w:type="gramStart"/>
      <w:r w:rsidRPr="00C60B6D">
        <w:rPr>
          <w:lang w:val="uk-UA"/>
        </w:rPr>
        <w:t>в</w:t>
      </w:r>
      <w:proofErr w:type="gramEnd"/>
      <w:r w:rsidRPr="00C60B6D">
        <w:rPr>
          <w:lang w:val="uk-UA"/>
        </w:rPr>
        <w:t xml:space="preserve"> періоді </w:t>
      </w:r>
      <w:r>
        <w:t>t</w:t>
      </w:r>
      <w:r w:rsidRPr="00C60B6D">
        <w:rPr>
          <w:lang w:val="uk-UA"/>
        </w:rPr>
        <w:t xml:space="preserve">; </w:t>
      </w:r>
    </w:p>
    <w:p w:rsidR="00C60B6D" w:rsidRDefault="00C60B6D" w:rsidP="00C60B6D">
      <w:pPr>
        <w:pStyle w:val="a3"/>
        <w:spacing w:line="240" w:lineRule="auto"/>
        <w:ind w:left="0" w:firstLine="709"/>
        <w:jc w:val="left"/>
        <w:rPr>
          <w:lang w:val="uk-UA"/>
        </w:rPr>
      </w:pPr>
      <w:r>
        <w:t>FL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 xml:space="preserve">) — пасиви, чутливі до зміни ставки </w:t>
      </w:r>
      <w:proofErr w:type="gramStart"/>
      <w:r w:rsidRPr="00C60B6D">
        <w:rPr>
          <w:lang w:val="uk-UA"/>
        </w:rPr>
        <w:t>в</w:t>
      </w:r>
      <w:proofErr w:type="gramEnd"/>
      <w:r w:rsidRPr="00C60B6D">
        <w:rPr>
          <w:lang w:val="uk-UA"/>
        </w:rPr>
        <w:t xml:space="preserve"> періоді </w:t>
      </w:r>
      <w:r>
        <w:t>t</w:t>
      </w:r>
      <w:r w:rsidRPr="00C60B6D">
        <w:rPr>
          <w:lang w:val="uk-UA"/>
        </w:rPr>
        <w:t>.</w:t>
      </w:r>
    </w:p>
    <w:p w:rsidR="00C60B6D" w:rsidRDefault="00C60B6D" w:rsidP="00C60B6D">
      <w:pPr>
        <w:pStyle w:val="a3"/>
        <w:spacing w:line="240" w:lineRule="auto"/>
        <w:ind w:left="0" w:firstLine="709"/>
        <w:rPr>
          <w:lang w:val="uk-UA"/>
        </w:rPr>
      </w:pPr>
      <w:r w:rsidRPr="00C60B6D">
        <w:rPr>
          <w:lang w:val="uk-UA"/>
        </w:rPr>
        <w:t xml:space="preserve"> Геп може бути додатним, якщо активи, чутливі до змін ставки, перевищують чутливі зобов’язання (</w:t>
      </w:r>
      <w:r>
        <w:t>FA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 xml:space="preserve">) &gt; </w:t>
      </w:r>
      <w:r>
        <w:t>FL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>)), або від’ємним, якщо чутливі зобов’язання перевищують чутливі активи (</w:t>
      </w:r>
      <w:r>
        <w:t>FA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 xml:space="preserve">) &lt; </w:t>
      </w:r>
      <w:r>
        <w:t>FL</w:t>
      </w:r>
      <w:r w:rsidRPr="00C60B6D">
        <w:rPr>
          <w:lang w:val="uk-UA"/>
        </w:rPr>
        <w:t>(</w:t>
      </w:r>
      <w:r>
        <w:t>t</w:t>
      </w:r>
      <w:r w:rsidRPr="00C60B6D">
        <w:rPr>
          <w:lang w:val="uk-UA"/>
        </w:rPr>
        <w:t>)).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uk-UA"/>
        </w:rPr>
      </w:pPr>
      <w:r>
        <w:t xml:space="preserve">Збалансована позиція, коли чутливі активи та зобов’язання </w:t>
      </w:r>
      <w:proofErr w:type="gramStart"/>
      <w:r>
        <w:t>р</w:t>
      </w:r>
      <w:proofErr w:type="gramEnd"/>
      <w:r>
        <w:t xml:space="preserve">івні між собою, означає </w:t>
      </w:r>
      <w:r w:rsidRPr="00190ACF">
        <w:rPr>
          <w:u w:val="single"/>
        </w:rPr>
        <w:t>нульовий геп</w:t>
      </w:r>
      <w:r>
        <w:t xml:space="preserve">. За нульового гепу маржа банку буде стабільною, незалежною від коливань відсоткових ставок, а відсотковий ризик — мінімальним. Проте одержати </w:t>
      </w:r>
      <w:proofErr w:type="gramStart"/>
      <w:r>
        <w:t>п</w:t>
      </w:r>
      <w:proofErr w:type="gramEnd"/>
      <w:r>
        <w:t xml:space="preserve">ідвищений прибуток завдяки сприятливій зміні відсоткових ставок на ринку за нульового гепу неможливо. 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uk-UA"/>
        </w:rPr>
      </w:pPr>
      <w:r w:rsidRPr="00190ACF">
        <w:rPr>
          <w:lang w:val="uk-UA"/>
        </w:rPr>
        <w:t>І додатний, і від’ємний г</w:t>
      </w:r>
      <w:r>
        <w:rPr>
          <w:lang w:val="uk-UA"/>
        </w:rPr>
        <w:t>еп надають банку потенційну мож</w:t>
      </w:r>
      <w:r w:rsidRPr="00190ACF">
        <w:rPr>
          <w:lang w:val="uk-UA"/>
        </w:rPr>
        <w:t>ливість отримати більшу маржу, ніж у разі нульового гепу.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uk-UA"/>
        </w:rPr>
      </w:pPr>
      <w:r w:rsidRPr="00190ACF">
        <w:rPr>
          <w:lang w:val="uk-UA"/>
        </w:rPr>
        <w:t xml:space="preserve">Для визначення співвідношення чутливих активів і зобов’язань банку використовують коефіцієнт гепу — </w:t>
      </w:r>
      <w:r>
        <w:t>FGAP</w:t>
      </w:r>
      <w:r w:rsidRPr="00190ACF">
        <w:rPr>
          <w:lang w:val="uk-UA"/>
        </w:rPr>
        <w:t>(</w:t>
      </w:r>
      <w:r>
        <w:t>t</w:t>
      </w:r>
      <w:r>
        <w:rPr>
          <w:lang w:val="uk-UA"/>
        </w:rPr>
        <w:t>), який обчис</w:t>
      </w:r>
      <w:r w:rsidRPr="00190ACF">
        <w:rPr>
          <w:lang w:val="uk-UA"/>
        </w:rPr>
        <w:t>люється як відношення чутливих активів до чутливих зобов’язань:</w:t>
      </w:r>
    </w:p>
    <w:p w:rsidR="00190ACF" w:rsidRPr="00190ACF" w:rsidRDefault="00190ACF" w:rsidP="00C60B6D">
      <w:pPr>
        <w:pStyle w:val="a3"/>
        <w:spacing w:line="240" w:lineRule="auto"/>
        <w:ind w:left="0" w:firstLine="709"/>
        <w:rPr>
          <w:rFonts w:eastAsiaTheme="minorEastAsia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FGAP</m:t>
              </m:r>
            </m:e>
            <m:sub>
              <m:r>
                <w:rPr>
                  <w:rFonts w:ascii="Cambria Math" w:hAnsi="Cambria Math"/>
                  <w:lang w:val="uk-UA"/>
                </w:rPr>
                <m:t>(t)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FA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(t)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FL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(t)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 xml:space="preserve">                                                         (7.2)</m:t>
          </m:r>
        </m:oMath>
      </m:oMathPara>
    </w:p>
    <w:p w:rsidR="00190ACF" w:rsidRDefault="00190ACF" w:rsidP="00C60B6D">
      <w:pPr>
        <w:pStyle w:val="a3"/>
        <w:spacing w:line="240" w:lineRule="auto"/>
        <w:ind w:left="0" w:firstLine="709"/>
        <w:rPr>
          <w:lang w:val="en-US"/>
        </w:rPr>
      </w:pPr>
      <w:r>
        <w:t>Якщо коефіцієнт гепу більший за одиницю, то це означа</w:t>
      </w:r>
      <w:proofErr w:type="gramStart"/>
      <w:r>
        <w:t>є,</w:t>
      </w:r>
      <w:proofErr w:type="gramEnd"/>
      <w:r>
        <w:t xml:space="preserve"> що геп додатний, коли менший — геп від’ємний. Якщо коефіцієнт дорівнює одиниці, то геп нульовий.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en-US"/>
        </w:rPr>
      </w:pPr>
      <w:r w:rsidRPr="00190ACF">
        <w:rPr>
          <w:lang w:val="en-US"/>
        </w:rPr>
        <w:t xml:space="preserve"> </w:t>
      </w:r>
      <w:r w:rsidRPr="00190ACF">
        <w:rPr>
          <w:u w:val="single"/>
        </w:rPr>
        <w:t>Головна</w:t>
      </w:r>
      <w:r w:rsidRPr="00190ACF">
        <w:rPr>
          <w:u w:val="single"/>
          <w:lang w:val="en-US"/>
        </w:rPr>
        <w:t xml:space="preserve"> </w:t>
      </w:r>
      <w:r w:rsidRPr="00190ACF">
        <w:rPr>
          <w:u w:val="single"/>
        </w:rPr>
        <w:t>ідея</w:t>
      </w:r>
      <w:r w:rsidRPr="00190ACF">
        <w:rPr>
          <w:u w:val="single"/>
          <w:lang w:val="en-US"/>
        </w:rPr>
        <w:t xml:space="preserve"> </w:t>
      </w:r>
      <w:r w:rsidRPr="00190ACF">
        <w:rPr>
          <w:u w:val="single"/>
        </w:rPr>
        <w:t>управління</w:t>
      </w:r>
      <w:r w:rsidRPr="00190ACF">
        <w:rPr>
          <w:u w:val="single"/>
          <w:lang w:val="en-US"/>
        </w:rPr>
        <w:t xml:space="preserve"> </w:t>
      </w:r>
      <w:r w:rsidRPr="00190ACF">
        <w:rPr>
          <w:u w:val="single"/>
        </w:rPr>
        <w:t>гепом</w:t>
      </w:r>
      <w:r w:rsidRPr="00190ACF">
        <w:rPr>
          <w:lang w:val="en-US"/>
        </w:rPr>
        <w:t xml:space="preserve"> </w:t>
      </w:r>
      <w:r>
        <w:t>полягає</w:t>
      </w:r>
      <w:r w:rsidRPr="00190ACF">
        <w:rPr>
          <w:lang w:val="en-US"/>
        </w:rPr>
        <w:t xml:space="preserve"> </w:t>
      </w:r>
      <w:proofErr w:type="gramStart"/>
      <w:r>
        <w:t>в</w:t>
      </w:r>
      <w:proofErr w:type="gramEnd"/>
      <w:r w:rsidRPr="00190ACF">
        <w:rPr>
          <w:lang w:val="en-US"/>
        </w:rPr>
        <w:t xml:space="preserve"> </w:t>
      </w:r>
      <w:proofErr w:type="gramStart"/>
      <w:r>
        <w:t>тому</w:t>
      </w:r>
      <w:proofErr w:type="gramEnd"/>
      <w:r w:rsidRPr="00190ACF">
        <w:rPr>
          <w:lang w:val="en-US"/>
        </w:rPr>
        <w:t xml:space="preserve">, </w:t>
      </w:r>
      <w:r>
        <w:t>що</w:t>
      </w:r>
      <w:r w:rsidRPr="00190ACF">
        <w:rPr>
          <w:lang w:val="en-US"/>
        </w:rPr>
        <w:t xml:space="preserve"> </w:t>
      </w:r>
      <w:r>
        <w:t>величина</w:t>
      </w:r>
      <w:r w:rsidRPr="00190ACF">
        <w:rPr>
          <w:lang w:val="en-US"/>
        </w:rPr>
        <w:t xml:space="preserve"> </w:t>
      </w:r>
      <w:r>
        <w:t>та</w:t>
      </w:r>
      <w:r w:rsidRPr="00190ACF">
        <w:rPr>
          <w:lang w:val="en-US"/>
        </w:rPr>
        <w:t xml:space="preserve"> </w:t>
      </w:r>
      <w:r>
        <w:t>вид</w:t>
      </w:r>
      <w:r w:rsidRPr="00190ACF">
        <w:rPr>
          <w:lang w:val="en-US"/>
        </w:rPr>
        <w:t xml:space="preserve"> (</w:t>
      </w:r>
      <w:r>
        <w:t>додатний</w:t>
      </w:r>
      <w:r w:rsidRPr="00190ACF">
        <w:rPr>
          <w:lang w:val="en-US"/>
        </w:rPr>
        <w:t xml:space="preserve"> </w:t>
      </w:r>
      <w:r>
        <w:t>або</w:t>
      </w:r>
      <w:r w:rsidRPr="00190ACF">
        <w:rPr>
          <w:lang w:val="en-US"/>
        </w:rPr>
        <w:t xml:space="preserve"> </w:t>
      </w:r>
      <w:r>
        <w:t>від</w:t>
      </w:r>
      <w:r w:rsidRPr="00190ACF">
        <w:rPr>
          <w:lang w:val="en-US"/>
        </w:rPr>
        <w:t>’</w:t>
      </w:r>
      <w:r>
        <w:t>ємний</w:t>
      </w:r>
      <w:r w:rsidRPr="00190ACF">
        <w:rPr>
          <w:lang w:val="en-US"/>
        </w:rPr>
        <w:t xml:space="preserve">) </w:t>
      </w:r>
      <w:r>
        <w:t>гепу</w:t>
      </w:r>
      <w:r w:rsidRPr="00190ACF">
        <w:rPr>
          <w:lang w:val="en-US"/>
        </w:rPr>
        <w:t xml:space="preserve"> </w:t>
      </w:r>
      <w:r>
        <w:t>мають</w:t>
      </w:r>
      <w:r w:rsidRPr="00190ACF">
        <w:rPr>
          <w:lang w:val="en-US"/>
        </w:rPr>
        <w:t xml:space="preserve"> </w:t>
      </w:r>
      <w:r>
        <w:t>відповідати</w:t>
      </w:r>
      <w:r w:rsidRPr="00190ACF">
        <w:rPr>
          <w:lang w:val="en-US"/>
        </w:rPr>
        <w:t xml:space="preserve"> </w:t>
      </w:r>
      <w:r>
        <w:t>прогнозам</w:t>
      </w:r>
      <w:r w:rsidRPr="00190ACF">
        <w:rPr>
          <w:lang w:val="en-US"/>
        </w:rPr>
        <w:t xml:space="preserve"> </w:t>
      </w:r>
      <w:r>
        <w:t>зміни</w:t>
      </w:r>
      <w:r w:rsidRPr="00190ACF">
        <w:rPr>
          <w:lang w:val="en-US"/>
        </w:rPr>
        <w:t xml:space="preserve"> </w:t>
      </w:r>
      <w:r>
        <w:t>відсоткових</w:t>
      </w:r>
      <w:r w:rsidRPr="00190ACF">
        <w:rPr>
          <w:lang w:val="en-US"/>
        </w:rPr>
        <w:t xml:space="preserve"> </w:t>
      </w:r>
      <w:r>
        <w:t>ставок</w:t>
      </w:r>
      <w:r w:rsidRPr="00190ACF">
        <w:rPr>
          <w:lang w:val="en-US"/>
        </w:rPr>
        <w:t xml:space="preserve">. 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en-US"/>
        </w:rPr>
      </w:pPr>
      <w:r w:rsidRPr="00190ACF">
        <w:rPr>
          <w:u w:val="single"/>
        </w:rPr>
        <w:t>Правило</w:t>
      </w:r>
      <w:r w:rsidRPr="00190ACF">
        <w:rPr>
          <w:u w:val="single"/>
          <w:lang w:val="en-US"/>
        </w:rPr>
        <w:t xml:space="preserve"> </w:t>
      </w:r>
      <w:r w:rsidRPr="00190ACF">
        <w:rPr>
          <w:u w:val="single"/>
        </w:rPr>
        <w:t>управління</w:t>
      </w:r>
      <w:r w:rsidRPr="00190ACF">
        <w:rPr>
          <w:u w:val="single"/>
          <w:lang w:val="en-US"/>
        </w:rPr>
        <w:t xml:space="preserve"> </w:t>
      </w:r>
      <w:r w:rsidRPr="00190ACF">
        <w:rPr>
          <w:u w:val="single"/>
        </w:rPr>
        <w:t>гепом</w:t>
      </w:r>
      <w:r w:rsidRPr="00190ACF">
        <w:rPr>
          <w:lang w:val="en-US"/>
        </w:rPr>
        <w:t>: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en-US"/>
        </w:rPr>
      </w:pPr>
      <w:r w:rsidRPr="00190ACF">
        <w:rPr>
          <w:lang w:val="en-US"/>
        </w:rPr>
        <w:t xml:space="preserve"> </w:t>
      </w:r>
      <w:r>
        <w:sym w:font="Symbol" w:char="F0B7"/>
      </w:r>
      <w:r w:rsidRPr="00190ACF">
        <w:rPr>
          <w:lang w:val="en-US"/>
        </w:rPr>
        <w:t xml:space="preserve"> </w:t>
      </w:r>
      <w:r>
        <w:t>якщо</w:t>
      </w:r>
      <w:r w:rsidRPr="00190ACF">
        <w:rPr>
          <w:lang w:val="en-US"/>
        </w:rPr>
        <w:t xml:space="preserve"> </w:t>
      </w:r>
      <w:r>
        <w:t>геп</w:t>
      </w:r>
      <w:r w:rsidRPr="00190ACF">
        <w:rPr>
          <w:lang w:val="en-US"/>
        </w:rPr>
        <w:t xml:space="preserve"> </w:t>
      </w:r>
      <w:r>
        <w:t>додатний</w:t>
      </w:r>
      <w:r w:rsidRPr="00190ACF">
        <w:rPr>
          <w:lang w:val="en-US"/>
        </w:rPr>
        <w:t xml:space="preserve">, </w:t>
      </w:r>
      <w:r>
        <w:t>то</w:t>
      </w:r>
      <w:r w:rsidRPr="00190ACF">
        <w:rPr>
          <w:lang w:val="en-US"/>
        </w:rPr>
        <w:t xml:space="preserve"> </w:t>
      </w:r>
      <w:r>
        <w:t>зі</w:t>
      </w:r>
      <w:r w:rsidRPr="00190ACF">
        <w:rPr>
          <w:lang w:val="en-US"/>
        </w:rPr>
        <w:t xml:space="preserve"> </w:t>
      </w:r>
      <w:r>
        <w:t>зростанням</w:t>
      </w:r>
      <w:r w:rsidRPr="00190ACF">
        <w:rPr>
          <w:lang w:val="en-US"/>
        </w:rPr>
        <w:t xml:space="preserve"> </w:t>
      </w:r>
      <w:r>
        <w:t>відсоткових</w:t>
      </w:r>
      <w:r w:rsidRPr="00190ACF">
        <w:rPr>
          <w:lang w:val="en-US"/>
        </w:rPr>
        <w:t xml:space="preserve"> </w:t>
      </w:r>
      <w:r>
        <w:t>ставок</w:t>
      </w:r>
      <w:r w:rsidRPr="00190ACF">
        <w:rPr>
          <w:lang w:val="en-US"/>
        </w:rPr>
        <w:t xml:space="preserve"> </w:t>
      </w:r>
      <w:r>
        <w:t>маржа</w:t>
      </w:r>
      <w:r w:rsidRPr="00190ACF">
        <w:rPr>
          <w:lang w:val="en-US"/>
        </w:rPr>
        <w:t xml:space="preserve"> </w:t>
      </w:r>
      <w:r>
        <w:t>банку</w:t>
      </w:r>
      <w:r w:rsidRPr="00190ACF">
        <w:rPr>
          <w:lang w:val="en-US"/>
        </w:rPr>
        <w:t xml:space="preserve"> </w:t>
      </w:r>
      <w:r>
        <w:t>зростатиме</w:t>
      </w:r>
      <w:r w:rsidRPr="00190ACF">
        <w:rPr>
          <w:lang w:val="en-US"/>
        </w:rPr>
        <w:t xml:space="preserve"> </w:t>
      </w:r>
      <w:r>
        <w:t>і</w:t>
      </w:r>
      <w:r w:rsidRPr="00190ACF">
        <w:rPr>
          <w:lang w:val="en-US"/>
        </w:rPr>
        <w:t xml:space="preserve">, </w:t>
      </w:r>
      <w:r>
        <w:t>навпаки</w:t>
      </w:r>
      <w:r w:rsidRPr="00190ACF">
        <w:rPr>
          <w:lang w:val="en-US"/>
        </w:rPr>
        <w:t xml:space="preserve">, </w:t>
      </w:r>
      <w:proofErr w:type="gramStart"/>
      <w:r>
        <w:t>у</w:t>
      </w:r>
      <w:proofErr w:type="gramEnd"/>
      <w:r w:rsidRPr="00190ACF">
        <w:rPr>
          <w:lang w:val="en-US"/>
        </w:rPr>
        <w:t xml:space="preserve"> </w:t>
      </w:r>
      <w:r>
        <w:t>разі</w:t>
      </w:r>
      <w:r w:rsidRPr="00190ACF">
        <w:rPr>
          <w:lang w:val="en-US"/>
        </w:rPr>
        <w:t xml:space="preserve"> </w:t>
      </w:r>
      <w:r>
        <w:t>їх</w:t>
      </w:r>
      <w:r w:rsidRPr="00190ACF">
        <w:rPr>
          <w:lang w:val="en-US"/>
        </w:rPr>
        <w:t xml:space="preserve"> </w:t>
      </w:r>
      <w:r>
        <w:t>зниження</w:t>
      </w:r>
      <w:r w:rsidRPr="00190ACF">
        <w:rPr>
          <w:lang w:val="en-US"/>
        </w:rPr>
        <w:t xml:space="preserve"> </w:t>
      </w:r>
      <w:r>
        <w:t>маржа</w:t>
      </w:r>
      <w:r w:rsidRPr="00190ACF">
        <w:rPr>
          <w:lang w:val="en-US"/>
        </w:rPr>
        <w:t xml:space="preserve"> </w:t>
      </w:r>
      <w:r>
        <w:t>зменшуватиметься</w:t>
      </w:r>
      <w:r w:rsidRPr="00190ACF">
        <w:rPr>
          <w:lang w:val="en-US"/>
        </w:rPr>
        <w:t xml:space="preserve">; </w:t>
      </w:r>
    </w:p>
    <w:p w:rsidR="00190ACF" w:rsidRPr="00190ACF" w:rsidRDefault="00190ACF" w:rsidP="00C60B6D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90ACF">
        <w:t xml:space="preserve"> </w:t>
      </w:r>
      <w:r>
        <w:t>якщо</w:t>
      </w:r>
      <w:r w:rsidRPr="00190ACF">
        <w:t xml:space="preserve"> </w:t>
      </w:r>
      <w:r>
        <w:t>геп</w:t>
      </w:r>
      <w:r w:rsidRPr="00190ACF">
        <w:t xml:space="preserve"> </w:t>
      </w:r>
      <w:r>
        <w:t>від</w:t>
      </w:r>
      <w:r w:rsidRPr="00190ACF">
        <w:t>’</w:t>
      </w:r>
      <w:r>
        <w:t>ємний</w:t>
      </w:r>
      <w:r w:rsidRPr="00190ACF">
        <w:t xml:space="preserve">, </w:t>
      </w:r>
      <w:r>
        <w:t>то</w:t>
      </w:r>
      <w:r w:rsidRPr="00190ACF">
        <w:t xml:space="preserve"> </w:t>
      </w:r>
      <w:r>
        <w:t>зі</w:t>
      </w:r>
      <w:r w:rsidRPr="00190ACF">
        <w:t xml:space="preserve"> </w:t>
      </w:r>
      <w:r>
        <w:t>зростанням</w:t>
      </w:r>
      <w:r w:rsidRPr="00190ACF">
        <w:t xml:space="preserve"> </w:t>
      </w:r>
      <w:r>
        <w:t>відсоткових</w:t>
      </w:r>
      <w:r w:rsidRPr="00190ACF">
        <w:t xml:space="preserve"> </w:t>
      </w:r>
      <w:r>
        <w:t>ставок</w:t>
      </w:r>
      <w:r w:rsidRPr="00190ACF">
        <w:t xml:space="preserve"> </w:t>
      </w:r>
      <w:r>
        <w:t>маржа</w:t>
      </w:r>
      <w:r w:rsidRPr="00190ACF">
        <w:t xml:space="preserve"> </w:t>
      </w:r>
      <w:r>
        <w:t>банку</w:t>
      </w:r>
      <w:r w:rsidRPr="00190ACF">
        <w:t xml:space="preserve"> </w:t>
      </w:r>
      <w:r>
        <w:t>зменшуватиметься</w:t>
      </w:r>
      <w:r w:rsidRPr="00190ACF">
        <w:t xml:space="preserve">, </w:t>
      </w:r>
      <w:r>
        <w:t>а</w:t>
      </w:r>
      <w:r w:rsidRPr="00190ACF">
        <w:t xml:space="preserve"> </w:t>
      </w:r>
      <w:r>
        <w:t>з</w:t>
      </w:r>
      <w:r w:rsidRPr="00190ACF">
        <w:t xml:space="preserve"> </w:t>
      </w:r>
      <w:r>
        <w:t>їх</w:t>
      </w:r>
      <w:r w:rsidRPr="00190ACF">
        <w:t xml:space="preserve"> </w:t>
      </w:r>
      <w:r>
        <w:t>зниженням</w:t>
      </w:r>
      <w:r w:rsidRPr="00190ACF">
        <w:t xml:space="preserve"> — </w:t>
      </w:r>
      <w:r>
        <w:t>збільшуватиметься</w:t>
      </w:r>
      <w:r>
        <w:rPr>
          <w:lang w:val="uk-UA"/>
        </w:rPr>
        <w:t>.</w:t>
      </w:r>
    </w:p>
    <w:p w:rsidR="00190ACF" w:rsidRDefault="00190ACF" w:rsidP="00C60B6D">
      <w:pPr>
        <w:pStyle w:val="a3"/>
        <w:spacing w:line="240" w:lineRule="auto"/>
        <w:ind w:left="0" w:firstLine="709"/>
        <w:rPr>
          <w:lang w:val="uk-UA"/>
        </w:rPr>
      </w:pPr>
      <w:r>
        <w:t>Це означа</w:t>
      </w:r>
      <w:proofErr w:type="gramStart"/>
      <w:r>
        <w:t>є,</w:t>
      </w:r>
      <w:proofErr w:type="gramEnd"/>
      <w:r>
        <w:t xml:space="preserve"> що для банку не так вже й важливо, як змінюються відсоткові ставки на ринку. Головне — щоб геп відповідав тому напряму руху ставок, який забезпечить </w:t>
      </w:r>
      <w:proofErr w:type="gramStart"/>
      <w:r>
        <w:t>п</w:t>
      </w:r>
      <w:proofErr w:type="gramEnd"/>
      <w:r>
        <w:t>ідвищення прибутку, тобто був додатним за підвищення ставок і від’ємним — за їх зниження.</w:t>
      </w:r>
    </w:p>
    <w:p w:rsidR="00190ACF" w:rsidRDefault="00190ACF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Для контролю за </w:t>
      </w:r>
      <w:proofErr w:type="gramStart"/>
      <w:r>
        <w:t>р</w:t>
      </w:r>
      <w:proofErr w:type="gramEnd"/>
      <w:r>
        <w:t xml:space="preserve">івнем відсоткового ризику використовують індекс відсоткового ризику. </w:t>
      </w:r>
    </w:p>
    <w:p w:rsidR="00190ACF" w:rsidRDefault="00190ACF" w:rsidP="00190ACF">
      <w:pPr>
        <w:pStyle w:val="a3"/>
        <w:spacing w:line="240" w:lineRule="auto"/>
        <w:ind w:left="0" w:firstLine="709"/>
        <w:rPr>
          <w:lang w:val="uk-UA"/>
        </w:rPr>
      </w:pPr>
      <w:r w:rsidRPr="00190ACF">
        <w:rPr>
          <w:b/>
        </w:rPr>
        <w:lastRenderedPageBreak/>
        <w:t>Індекс відсоткового ризику</w:t>
      </w:r>
      <w:r>
        <w:t xml:space="preserve"> дорівнює відношенню абсолютної величини гепу до робочих активі</w:t>
      </w:r>
      <w:proofErr w:type="gramStart"/>
      <w:r>
        <w:t>в</w:t>
      </w:r>
      <w:proofErr w:type="gramEnd"/>
      <w:r>
        <w:t xml:space="preserve"> і виражається у відсотках:</w:t>
      </w:r>
    </w:p>
    <w:p w:rsidR="00190ACF" w:rsidRPr="00B6249D" w:rsidRDefault="00190ACF" w:rsidP="00190ACF">
      <w:pPr>
        <w:pStyle w:val="a3"/>
        <w:spacing w:line="240" w:lineRule="auto"/>
        <w:ind w:left="0" w:firstLine="709"/>
        <w:rPr>
          <w:rFonts w:eastAsiaTheme="minorEastAsia"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IR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GAP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(t)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  <m:r>
            <w:rPr>
              <w:rFonts w:ascii="Cambria Math" w:hAnsi="Cambria Math"/>
              <w:lang w:val="en-US"/>
            </w:rPr>
            <m:t>×100,                                                (7.3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B6249D" w:rsidRDefault="00B6249D" w:rsidP="00190ACF">
      <w:pPr>
        <w:pStyle w:val="a3"/>
        <w:spacing w:line="240" w:lineRule="auto"/>
        <w:ind w:left="0" w:firstLine="709"/>
        <w:rPr>
          <w:lang w:val="uk-UA"/>
        </w:rPr>
      </w:pPr>
      <w:r>
        <w:t>де IR(t) — індекс відсоткового ризику; А — робочі активи банку.</w:t>
      </w:r>
    </w:p>
    <w:p w:rsidR="00B6249D" w:rsidRDefault="00B6249D" w:rsidP="00190ACF">
      <w:pPr>
        <w:pStyle w:val="a3"/>
        <w:spacing w:line="240" w:lineRule="auto"/>
        <w:ind w:left="0" w:firstLine="709"/>
        <w:rPr>
          <w:lang w:val="uk-UA"/>
        </w:rPr>
      </w:pPr>
      <w:r w:rsidRPr="00B6249D">
        <w:rPr>
          <w:lang w:val="uk-UA"/>
        </w:rPr>
        <w:t xml:space="preserve"> Індекс відсоткового ризику показує, яка частина активів (коли геп додатний) чи пасивів (коли геп від’ємний) може змінити свою вартість у зв’язку зі зміною ринкових ставок, а отже, вплинути на ринкову вартість усієї банківської установи. </w:t>
      </w:r>
      <w:r>
        <w:t>Індекс розраховується без урахування знака, оскільки й додатний, і від’ємний геп можуть призвести до збиткі</w:t>
      </w:r>
      <w:proofErr w:type="gramStart"/>
      <w:r>
        <w:t>в</w:t>
      </w:r>
      <w:proofErr w:type="gramEnd"/>
      <w:r>
        <w:rPr>
          <w:lang w:val="uk-UA"/>
        </w:rPr>
        <w:t>.</w:t>
      </w:r>
    </w:p>
    <w:p w:rsidR="00B6249D" w:rsidRDefault="00B6249D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Зміну маржі банку залежно від коливань ринкових ставок дозволяє оцінити модель гепу, яка описує залежність </w:t>
      </w:r>
      <w:proofErr w:type="gramStart"/>
      <w:r>
        <w:t>між</w:t>
      </w:r>
      <w:proofErr w:type="gramEnd"/>
      <w:r>
        <w:t xml:space="preserve"> цими показниками:</w:t>
      </w:r>
    </w:p>
    <w:p w:rsidR="00B6249D" w:rsidRPr="00B6249D" w:rsidRDefault="00B6249D" w:rsidP="00190ACF">
      <w:pPr>
        <w:pStyle w:val="a3"/>
        <w:spacing w:line="240" w:lineRule="auto"/>
        <w:ind w:left="0" w:firstLine="709"/>
        <w:rPr>
          <w:rFonts w:eastAsiaTheme="minorEastAsia"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∆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uk-UA"/>
                </w:rPr>
                <m:t>(t)</m:t>
              </m:r>
            </m:sub>
          </m:sSub>
          <m:r>
            <w:rPr>
              <w:rFonts w:ascii="Cambria Math" w:hAnsi="Cambria Math"/>
              <w:lang w:val="uk-UA"/>
            </w:rPr>
            <m:t>≈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>-r</m:t>
              </m:r>
            </m:e>
          </m:d>
          <m:r>
            <w:rPr>
              <w:rFonts w:ascii="Cambria Math" w:hAnsi="Cambria Math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GAP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lang w:val="uk-UA"/>
            </w:rPr>
            <m:t>,                                            (7.4)</m:t>
          </m:r>
        </m:oMath>
      </m:oMathPara>
    </w:p>
    <w:p w:rsidR="00B6249D" w:rsidRDefault="00B6249D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де </w:t>
      </w:r>
      <w:r>
        <w:sym w:font="Symbol" w:char="F044"/>
      </w:r>
      <w:r>
        <w:t>P(t) — величина зміни процентної маржі банку (</w:t>
      </w:r>
      <w:proofErr w:type="gramStart"/>
      <w:r>
        <w:t>у</w:t>
      </w:r>
      <w:proofErr w:type="gramEnd"/>
      <w:r>
        <w:t xml:space="preserve"> грошовому вираженні) протягом періоду t; </w:t>
      </w:r>
    </w:p>
    <w:p w:rsidR="00B6249D" w:rsidRDefault="00B6249D" w:rsidP="00190ACF">
      <w:pPr>
        <w:pStyle w:val="a3"/>
        <w:spacing w:line="240" w:lineRule="auto"/>
        <w:ind w:left="0" w:firstLine="709"/>
        <w:rPr>
          <w:lang w:val="uk-UA"/>
        </w:rPr>
      </w:pPr>
      <w:r>
        <w:t>rp, r — прогнозована та поточна ринкові ставки відповідно.</w:t>
      </w:r>
    </w:p>
    <w:p w:rsidR="003059CF" w:rsidRDefault="003059CF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Збільшення чи зменшення процентної маржі залежить від знака гепу («плюс» чи «мінус»), а також від того, зростатимуть чи спадатимуть відсоткові ставки </w:t>
      </w:r>
      <w:proofErr w:type="gramStart"/>
      <w:r>
        <w:t>на</w:t>
      </w:r>
      <w:proofErr w:type="gramEnd"/>
      <w:r>
        <w:t xml:space="preserve"> ринку. </w:t>
      </w:r>
    </w:p>
    <w:p w:rsidR="003059CF" w:rsidRDefault="003059CF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Додатне значення </w:t>
      </w:r>
      <w:r>
        <w:sym w:font="Symbol" w:char="F044"/>
      </w:r>
      <w:r>
        <w:t xml:space="preserve">P(t) указує на збільшення маржі і буде результатом </w:t>
      </w:r>
      <w:proofErr w:type="gramStart"/>
      <w:r>
        <w:t>п</w:t>
      </w:r>
      <w:proofErr w:type="gramEnd"/>
      <w:r>
        <w:t xml:space="preserve">ідвищення ставок за додатного гепу або зниження ставок за від’ємного гепу. </w:t>
      </w:r>
    </w:p>
    <w:p w:rsidR="003059CF" w:rsidRDefault="003059CF" w:rsidP="00190ACF">
      <w:pPr>
        <w:pStyle w:val="a3"/>
        <w:spacing w:line="240" w:lineRule="auto"/>
        <w:ind w:left="0" w:firstLine="709"/>
        <w:rPr>
          <w:lang w:val="uk-UA"/>
        </w:rPr>
      </w:pPr>
      <w:r>
        <w:t xml:space="preserve">Від’ємне значення </w:t>
      </w:r>
      <w:r>
        <w:sym w:font="Symbol" w:char="F044"/>
      </w:r>
      <w:r>
        <w:t xml:space="preserve">P(t) </w:t>
      </w:r>
      <w:proofErr w:type="gramStart"/>
      <w:r>
        <w:t>св</w:t>
      </w:r>
      <w:proofErr w:type="gramEnd"/>
      <w:r>
        <w:t xml:space="preserve">ідчить про зменшення маржі банку, зумовлене підвищенням ставок за від’ємного гепу або їх зниженням за додатного гепу. </w:t>
      </w:r>
    </w:p>
    <w:p w:rsidR="003059CF" w:rsidRDefault="003059CF" w:rsidP="00190ACF">
      <w:pPr>
        <w:pStyle w:val="a3"/>
        <w:spacing w:line="240" w:lineRule="auto"/>
        <w:ind w:left="0" w:firstLine="709"/>
        <w:rPr>
          <w:lang w:val="uk-UA"/>
        </w:rPr>
      </w:pPr>
      <w:r w:rsidRPr="003059CF">
        <w:rPr>
          <w:lang w:val="uk-UA"/>
        </w:rPr>
        <w:t>За нульового гепу маржа банку буде стабільною, незалежною від коливань відсоткових ставо</w:t>
      </w:r>
      <w:r>
        <w:rPr>
          <w:lang w:val="uk-UA"/>
        </w:rPr>
        <w:t>к, відсотковий ризик — мінімаль</w:t>
      </w:r>
      <w:r w:rsidRPr="003059CF">
        <w:rPr>
          <w:lang w:val="uk-UA"/>
        </w:rPr>
        <w:t xml:space="preserve">ним, проте одержати підвищений прибуток завдяки сприятливій зміні відсоткових ставок буде неможливо. </w:t>
      </w:r>
      <w:r>
        <w:t xml:space="preserve">Отже, і додатний, і від’ємний геп дають потенційну можливість отримати більшу маржу, </w:t>
      </w:r>
      <w:proofErr w:type="gramStart"/>
      <w:r>
        <w:t>ніж</w:t>
      </w:r>
      <w:proofErr w:type="gramEnd"/>
      <w:r>
        <w:t xml:space="preserve"> за нульового гепу.</w:t>
      </w:r>
    </w:p>
    <w:p w:rsidR="003059CF" w:rsidRPr="003059CF" w:rsidRDefault="003059CF" w:rsidP="003059CF">
      <w:pPr>
        <w:pStyle w:val="a3"/>
        <w:numPr>
          <w:ilvl w:val="0"/>
          <w:numId w:val="2"/>
        </w:numPr>
        <w:spacing w:line="240" w:lineRule="auto"/>
        <w:jc w:val="center"/>
        <w:rPr>
          <w:b/>
          <w:lang w:val="uk-UA"/>
        </w:rPr>
      </w:pPr>
      <w:r w:rsidRPr="003059CF">
        <w:rPr>
          <w:b/>
        </w:rPr>
        <w:t xml:space="preserve">Метод </w:t>
      </w:r>
      <w:proofErr w:type="gramStart"/>
      <w:r w:rsidRPr="003059CF">
        <w:rPr>
          <w:b/>
        </w:rPr>
        <w:t>кумулятивного</w:t>
      </w:r>
      <w:proofErr w:type="gramEnd"/>
      <w:r w:rsidRPr="003059CF">
        <w:rPr>
          <w:b/>
        </w:rPr>
        <w:t xml:space="preserve"> гепу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 w:rsidRPr="003059CF">
        <w:rPr>
          <w:lang w:val="uk-UA"/>
        </w:rPr>
        <w:t>Метод гепу дає можливість б</w:t>
      </w:r>
      <w:r>
        <w:rPr>
          <w:lang w:val="uk-UA"/>
        </w:rPr>
        <w:t>анку зважено керувати співвідно</w:t>
      </w:r>
      <w:r w:rsidRPr="003059CF">
        <w:rPr>
          <w:lang w:val="uk-UA"/>
        </w:rPr>
        <w:t>шенням обсягів активів і зобов’язань банку, проте на практиці виникає необхідність одночасног</w:t>
      </w:r>
      <w:r>
        <w:rPr>
          <w:lang w:val="uk-UA"/>
        </w:rPr>
        <w:t>о управління і обсягами, і стро</w:t>
      </w:r>
      <w:r w:rsidRPr="003059CF">
        <w:rPr>
          <w:lang w:val="uk-UA"/>
        </w:rPr>
        <w:t xml:space="preserve">ками фінансових потоків банку. </w:t>
      </w:r>
      <w:r>
        <w:t xml:space="preserve">Для цього застосовують метод </w:t>
      </w:r>
      <w:proofErr w:type="gramStart"/>
      <w:r>
        <w:t>кумулятивного</w:t>
      </w:r>
      <w:proofErr w:type="gramEnd"/>
      <w:r>
        <w:t xml:space="preserve"> гепу.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t>Метод кумулятивного гепу дає змогу управляти спі</w:t>
      </w:r>
      <w:proofErr w:type="gramStart"/>
      <w:r>
        <w:t>вв</w:t>
      </w:r>
      <w:proofErr w:type="gramEnd"/>
      <w:r>
        <w:t xml:space="preserve">ідношенням чутливих активів і зобов’язань не лише у певний момент часу (статичний аналіз), а й враховувати при цьому часовий компонент (динамічний аналіз).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 w:rsidRPr="003059CF">
        <w:rPr>
          <w:lang w:val="uk-UA"/>
        </w:rPr>
        <w:t xml:space="preserve">Зміст методу полягає в тому, що в кожному з інтервалів, на які поділено досліджуваний період (часовий горизонт), зіставляються чутливі активи та зобов’язання й обчислюється геп. </w:t>
      </w:r>
      <w:r>
        <w:t xml:space="preserve">Оскільки показник гепу тісно пов’язаний з конкретним часовим інтервалом, то показників гепу буде </w:t>
      </w:r>
      <w:proofErr w:type="gramStart"/>
      <w:r>
        <w:t>ст</w:t>
      </w:r>
      <w:proofErr w:type="gramEnd"/>
      <w:r>
        <w:t xml:space="preserve">ільки, скільки й часових інтервалів.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 w:rsidRPr="003059CF">
        <w:rPr>
          <w:b/>
        </w:rPr>
        <w:t>Кумулятивний (нагромаджений) геп</w:t>
      </w:r>
      <w:r>
        <w:t xml:space="preserve"> — це алгебраїчна сума (з урахуванням знака) гепів у </w:t>
      </w:r>
      <w:proofErr w:type="gramStart"/>
      <w:r>
        <w:t>кожному</w:t>
      </w:r>
      <w:proofErr w:type="gramEnd"/>
      <w:r>
        <w:t xml:space="preserve"> з часових інтервалів, на які поділено часовий горизонт.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lastRenderedPageBreak/>
        <w:t xml:space="preserve">Для обчислення показника </w:t>
      </w:r>
      <w:proofErr w:type="gramStart"/>
      <w:r>
        <w:t>кумулятивного</w:t>
      </w:r>
      <w:proofErr w:type="gramEnd"/>
      <w:r>
        <w:t xml:space="preserve"> гепу в кожному з інтервалів знаходять алгебраїчну суму гепів за попередні періоди:</w:t>
      </w:r>
    </w:p>
    <w:p w:rsidR="003059CF" w:rsidRPr="003059CF" w:rsidRDefault="003059CF" w:rsidP="003059CF">
      <w:pPr>
        <w:spacing w:line="240" w:lineRule="auto"/>
        <w:ind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KGAP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/>
                  <w:lang w:val="uk-UA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GAP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</m:d>
          <m:r>
            <w:rPr>
              <w:rFonts w:ascii="Cambria Math" w:hAnsi="Cambria Math"/>
              <w:lang w:val="uk-UA"/>
            </w:rPr>
            <m:t>,                                              (7.5)</m:t>
          </m:r>
        </m:oMath>
      </m:oMathPara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t xml:space="preserve">де KGAP(T) — кумулятивний геп;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t>T — часовий горизонт; i=1,T</w:t>
      </w:r>
      <w:r>
        <w:rPr>
          <w:lang w:val="uk-UA"/>
        </w:rPr>
        <w:t>.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t xml:space="preserve">За економічним змістом кумулятивний геп — це інтегральний показник, що відбиває </w:t>
      </w:r>
      <w:proofErr w:type="gramStart"/>
      <w:r>
        <w:t>р</w:t>
      </w:r>
      <w:proofErr w:type="gramEnd"/>
      <w:r>
        <w:t>івень ризику відсоткових ставок, на який нара</w:t>
      </w:r>
      <w:r>
        <w:t xml:space="preserve">жається банк упродовж розглянутого часового горизонту. Банк може управляти цим ризиком, установлюючи ліміт кумулятивного гепу як максимально допустиму його величину та приводячи структуру чутливих </w:t>
      </w:r>
      <w:proofErr w:type="gramStart"/>
      <w:r>
        <w:t>ак</w:t>
      </w:r>
      <w:r>
        <w:t>тив</w:t>
      </w:r>
      <w:proofErr w:type="gramEnd"/>
      <w:r>
        <w:t>ів і зобов’язань у відповідність з установленим лімітом</w:t>
      </w:r>
      <w:r>
        <w:rPr>
          <w:lang w:val="uk-UA"/>
        </w:rPr>
        <w:t>.</w:t>
      </w:r>
    </w:p>
    <w:p w:rsidR="003059CF" w:rsidRDefault="003059CF" w:rsidP="003059CF">
      <w:pPr>
        <w:spacing w:line="240" w:lineRule="auto"/>
        <w:ind w:firstLine="709"/>
        <w:rPr>
          <w:lang w:val="en-US"/>
        </w:rPr>
      </w:pPr>
      <w:r>
        <w:t xml:space="preserve">Таким чином, </w:t>
      </w:r>
      <w:r w:rsidRPr="0065222B">
        <w:rPr>
          <w:b/>
        </w:rPr>
        <w:t>індекс відсоткового ризику</w:t>
      </w:r>
      <w:r>
        <w:t xml:space="preserve"> дорівнює відношенню абсолютної величини </w:t>
      </w:r>
      <w:proofErr w:type="gramStart"/>
      <w:r>
        <w:t>кумулятивного</w:t>
      </w:r>
      <w:proofErr w:type="gramEnd"/>
      <w:r>
        <w:t xml:space="preserve"> гепу (в кожному з періодів) до робочих активів (у відсотках):</w:t>
      </w:r>
    </w:p>
    <w:p w:rsidR="003059CF" w:rsidRPr="00B6249D" w:rsidRDefault="003059CF" w:rsidP="003059CF">
      <w:pPr>
        <w:pStyle w:val="a3"/>
        <w:spacing w:line="240" w:lineRule="auto"/>
        <w:ind w:left="0" w:firstLine="709"/>
        <w:rPr>
          <w:rFonts w:eastAsiaTheme="minorEastAsia"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IR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KGAP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(T)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  <m:r>
            <w:rPr>
              <w:rFonts w:ascii="Cambria Math" w:hAnsi="Cambria Math"/>
              <w:lang w:val="en-US"/>
            </w:rPr>
            <m:t>×100,                                                (7.6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3059CF" w:rsidRDefault="003059CF" w:rsidP="003059CF">
      <w:pPr>
        <w:spacing w:line="240" w:lineRule="auto"/>
        <w:ind w:firstLine="709"/>
        <w:rPr>
          <w:lang w:val="en-US"/>
        </w:rPr>
      </w:pPr>
      <w:r>
        <w:t xml:space="preserve">де IR(t) — індекс відсоткового ризику; А — робочі активи банку. </w:t>
      </w:r>
    </w:p>
    <w:p w:rsidR="003059CF" w:rsidRPr="003059CF" w:rsidRDefault="003059CF" w:rsidP="003059CF">
      <w:pPr>
        <w:spacing w:line="240" w:lineRule="auto"/>
        <w:ind w:firstLine="709"/>
      </w:pPr>
      <w:r>
        <w:t xml:space="preserve">Модель </w:t>
      </w:r>
      <w:proofErr w:type="gramStart"/>
      <w:r>
        <w:t>кумулятивного</w:t>
      </w:r>
      <w:proofErr w:type="gramEnd"/>
      <w:r>
        <w:t xml:space="preserve"> гепу має вигляд:</w:t>
      </w:r>
    </w:p>
    <w:p w:rsidR="003059CF" w:rsidRPr="003059CF" w:rsidRDefault="003059CF" w:rsidP="003059CF">
      <w:pPr>
        <w:spacing w:line="240" w:lineRule="auto"/>
        <w:ind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∆P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</m:d>
          <m:r>
            <w:rPr>
              <w:rFonts w:ascii="Cambria Math" w:hAnsi="Cambria Math"/>
              <w:lang w:val="uk-UA"/>
            </w:rPr>
            <m:t>≈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>-r</m:t>
              </m:r>
            </m:e>
          </m:d>
          <m:r>
            <w:rPr>
              <w:rFonts w:ascii="Cambria Math" w:hAnsi="Cambria Math"/>
              <w:lang w:val="uk-UA"/>
            </w:rPr>
            <m:t>×KGAP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</m:d>
          <m:r>
            <w:rPr>
              <w:rFonts w:ascii="Cambria Math" w:hAnsi="Cambria Math"/>
              <w:lang w:val="uk-UA"/>
            </w:rPr>
            <m:t>,                                      (7.7)</m:t>
          </m:r>
        </m:oMath>
      </m:oMathPara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 w:rsidRPr="003059CF">
        <w:rPr>
          <w:lang w:val="uk-UA"/>
        </w:rPr>
        <w:t xml:space="preserve">де </w:t>
      </w:r>
      <w:r>
        <w:sym w:font="Symbol" w:char="F044"/>
      </w:r>
      <w:r>
        <w:t>P</w:t>
      </w:r>
      <w:r w:rsidRPr="003059CF">
        <w:rPr>
          <w:lang w:val="uk-UA"/>
        </w:rPr>
        <w:t>(</w:t>
      </w:r>
      <w:r>
        <w:t>T</w:t>
      </w:r>
      <w:r w:rsidRPr="003059CF">
        <w:rPr>
          <w:lang w:val="uk-UA"/>
        </w:rPr>
        <w:t xml:space="preserve">) — величина зміни маржі банку (у грошовому вираженні) протягом періоду </w:t>
      </w:r>
      <w:r>
        <w:t>T</w:t>
      </w:r>
      <w:r w:rsidRPr="003059CF">
        <w:rPr>
          <w:lang w:val="uk-UA"/>
        </w:rPr>
        <w:t xml:space="preserve">; </w:t>
      </w:r>
    </w:p>
    <w:p w:rsidR="003059CF" w:rsidRDefault="003059CF" w:rsidP="003059CF">
      <w:pPr>
        <w:spacing w:line="240" w:lineRule="auto"/>
        <w:ind w:firstLine="709"/>
        <w:rPr>
          <w:lang w:val="uk-UA"/>
        </w:rPr>
      </w:pPr>
      <w:r>
        <w:t>rp</w:t>
      </w:r>
      <w:r w:rsidRPr="003059CF">
        <w:rPr>
          <w:lang w:val="uk-UA"/>
        </w:rPr>
        <w:t xml:space="preserve">, </w:t>
      </w:r>
      <w:r>
        <w:t>r</w:t>
      </w:r>
      <w:r w:rsidRPr="003059CF">
        <w:rPr>
          <w:lang w:val="uk-UA"/>
        </w:rPr>
        <w:t xml:space="preserve"> — прогнозована та поточна ринкові ставки відповідно.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rPr>
          <w:lang w:val="uk-UA"/>
        </w:rPr>
        <w:t>Якщо</w:t>
      </w:r>
      <w:r>
        <w:t xml:space="preserve"> величина залучених коштів залежить не лише від банку і не завжди піддається прогнозуванню. У такому разі використовують коефіцієнт ризику, обчислений як відношення </w:t>
      </w:r>
      <w:proofErr w:type="gramStart"/>
      <w:r>
        <w:t>кумулятивного</w:t>
      </w:r>
      <w:proofErr w:type="gramEnd"/>
      <w:r>
        <w:t xml:space="preserve"> гепу до капіталу банку. Як відомо, капітал банку є стабільнішою величиною, </w:t>
      </w:r>
      <w:proofErr w:type="gramStart"/>
      <w:r>
        <w:t>ніж</w:t>
      </w:r>
      <w:proofErr w:type="gramEnd"/>
      <w:r>
        <w:t xml:space="preserve"> робочі активи. </w:t>
      </w:r>
      <w:proofErr w:type="gramStart"/>
      <w:r>
        <w:t>Кр</w:t>
      </w:r>
      <w:proofErr w:type="gramEnd"/>
      <w:r>
        <w:t>ім того, оскільки геп є індикатором відсоткового ризику банку, а всі ризики мають відшко</w:t>
      </w:r>
      <w:r>
        <w:t xml:space="preserve">довуватися за рахунок його власних коштів, то цілком логічно зіставляти геп саме з капіталом. 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t xml:space="preserve">Отже, </w:t>
      </w:r>
      <w:r w:rsidRPr="0065222B">
        <w:rPr>
          <w:b/>
        </w:rPr>
        <w:t>коефіцієнт відсоткового ризику</w:t>
      </w:r>
      <w:r>
        <w:t xml:space="preserve"> знаходять за формулою:</w:t>
      </w:r>
    </w:p>
    <w:p w:rsidR="0065222B" w:rsidRPr="0065222B" w:rsidRDefault="0065222B" w:rsidP="003059CF">
      <w:pPr>
        <w:spacing w:line="240" w:lineRule="auto"/>
        <w:ind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KR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</m:d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KGAP(T)</m:t>
              </m:r>
            </m:num>
            <m:den>
              <m:r>
                <w:rPr>
                  <w:rFonts w:ascii="Cambria Math" w:hAnsi="Cambria Math"/>
                  <w:lang w:val="uk-UA"/>
                </w:rPr>
                <m:t>K</m:t>
              </m:r>
            </m:den>
          </m:f>
          <m:r>
            <w:rPr>
              <w:rFonts w:ascii="Cambria Math" w:hAnsi="Cambria Math"/>
              <w:lang w:val="uk-UA"/>
            </w:rPr>
            <m:t>,                                                      (7.8)</m:t>
          </m:r>
        </m:oMath>
      </m:oMathPara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t>де KR(T) — коефіцієнт відсоткового ризику; K — власний капітал банку.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t xml:space="preserve">Модель </w:t>
      </w:r>
      <w:proofErr w:type="gramStart"/>
      <w:r>
        <w:t>кумулятивного</w:t>
      </w:r>
      <w:proofErr w:type="gramEnd"/>
      <w:r>
        <w:t xml:space="preserve"> гепу (7.7) забезпечує лише приблизну оцінку зміни маржі банку. Оскільки відсоткові ставки заведено подавати в розрахунку за </w:t>
      </w:r>
      <w:proofErr w:type="gramStart"/>
      <w:r>
        <w:t>р</w:t>
      </w:r>
      <w:proofErr w:type="gramEnd"/>
      <w:r>
        <w:t xml:space="preserve">ік, то обчислені за цією формулою зміни маржі теж відображатимуть коливання річного чистого процентного доходу. </w:t>
      </w:r>
      <w:proofErr w:type="gramStart"/>
      <w:r>
        <w:t>Якщо ж потрібно оцінити можливі коливання процентної маржі в кожному з часових періодів, на які поділено часовий горизонт, то слід брати до уваги тривалість періоду в днях.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gramStart"/>
      <w:r>
        <w:t>такому</w:t>
      </w:r>
      <w:proofErr w:type="gramEnd"/>
      <w:r>
        <w:t xml:space="preserve"> разі для розрахунку </w:t>
      </w:r>
      <w:r w:rsidRPr="0065222B">
        <w:rPr>
          <w:b/>
        </w:rPr>
        <w:t>абсолютної величини зміни банківської маржі</w:t>
      </w:r>
      <w:r>
        <w:t xml:space="preserve"> використовується формула:</w:t>
      </w:r>
    </w:p>
    <w:p w:rsidR="0065222B" w:rsidRPr="0065222B" w:rsidRDefault="0065222B" w:rsidP="003059CF">
      <w:pPr>
        <w:spacing w:line="240" w:lineRule="auto"/>
        <w:ind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∆P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-r</m:t>
              </m:r>
            </m:e>
          </m:d>
          <m:r>
            <w:rPr>
              <w:rFonts w:ascii="Cambria Math" w:hAnsi="Cambria Math"/>
              <w:lang w:val="en-US"/>
            </w:rPr>
            <m:t>×KGAP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r>
                <w:rPr>
                  <w:rFonts w:ascii="Cambria Math" w:hAnsi="Cambria Math"/>
                  <w:lang w:val="en-US"/>
                </w:rPr>
                <m:t>BS</m:t>
              </m:r>
            </m:den>
          </m:f>
          <m:r>
            <w:rPr>
              <w:rFonts w:ascii="Cambria Math" w:hAnsi="Cambria Math"/>
              <w:lang w:val="uk-UA"/>
            </w:rPr>
            <m:t>,                            (7.9)</m:t>
          </m:r>
        </m:oMath>
      </m:oMathPara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lastRenderedPageBreak/>
        <w:t xml:space="preserve">де T — тривалість інтервалу в днях; 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t>BS — база розрахунку в днях (360 або 365).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 w:rsidRPr="0065222B">
        <w:rPr>
          <w:lang w:val="uk-UA"/>
        </w:rPr>
        <w:t>Стратегій управління відсотковим ризиком існує дві: фіксація спреду та управління гепом.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 w:rsidRPr="0065222B">
        <w:rPr>
          <w:b/>
        </w:rPr>
        <w:t>Стратегія фіксації спреду</w:t>
      </w:r>
      <w:r>
        <w:t xml:space="preserve"> передбачає максимальну збалансованість позицій за чутливими активами та зобов’язаннями, тобто нульовий геп. У такому разі маржа банку залишається стабільною, незалежною від коливань відсоткових ставок </w:t>
      </w:r>
      <w:proofErr w:type="gramStart"/>
      <w:r>
        <w:t>на</w:t>
      </w:r>
      <w:proofErr w:type="gramEnd"/>
      <w:r>
        <w:t xml:space="preserve"> ринку. У разі застосування стратегії фіксації спреду одержати </w:t>
      </w:r>
      <w:proofErr w:type="gramStart"/>
      <w:r>
        <w:t>п</w:t>
      </w:r>
      <w:proofErr w:type="gramEnd"/>
      <w:r>
        <w:t>ідвищені прибутки завдяки сприятливій кон’юнктурі ринку неможливо, тоді як і додатний, і від’ємний геп дають таку потенційну мож</w:t>
      </w:r>
      <w:r>
        <w:t xml:space="preserve">ливість. Зате ця стратегія є найпростішою та досить надійною, адже вона не потребує ні точних прогнозів, ані </w:t>
      </w:r>
      <w:proofErr w:type="gramStart"/>
      <w:r>
        <w:t>складного</w:t>
      </w:r>
      <w:proofErr w:type="gramEnd"/>
      <w:r>
        <w:t xml:space="preserve"> аналітичного забезпечення. 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 w:rsidRPr="0065222B">
        <w:rPr>
          <w:b/>
          <w:lang w:val="uk-UA"/>
        </w:rPr>
        <w:t>Стратегія управління гепом</w:t>
      </w:r>
      <w:r>
        <w:rPr>
          <w:lang w:val="uk-UA"/>
        </w:rPr>
        <w:t xml:space="preserve"> має на меті отримання підвище</w:t>
      </w:r>
      <w:r w:rsidRPr="0065222B">
        <w:rPr>
          <w:lang w:val="uk-UA"/>
        </w:rPr>
        <w:t xml:space="preserve">них прибутків і передбачає свідоме прийняття банком ризику, а тому характеризується як більш агресивна. </w:t>
      </w:r>
      <w:r>
        <w:t xml:space="preserve">У разі реалізації ризику маржа банку знизиться, що буде зумовлене </w:t>
      </w:r>
      <w:proofErr w:type="gramStart"/>
      <w:r>
        <w:t>п</w:t>
      </w:r>
      <w:proofErr w:type="gramEnd"/>
      <w:r>
        <w:t>ідвищенням ставок за від’ємного гепу або зниженням ставок за додатного гепу.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rPr>
          <w:lang w:val="uk-UA"/>
        </w:rPr>
        <w:t xml:space="preserve">У </w:t>
      </w:r>
      <w:r w:rsidRPr="0065222B">
        <w:rPr>
          <w:lang w:val="uk-UA"/>
        </w:rPr>
        <w:t>процесі реалізації стратегії у</w:t>
      </w:r>
      <w:r>
        <w:rPr>
          <w:lang w:val="uk-UA"/>
        </w:rPr>
        <w:t>правління гепом необхідно досяг</w:t>
      </w:r>
      <w:r w:rsidRPr="0065222B">
        <w:rPr>
          <w:lang w:val="uk-UA"/>
        </w:rPr>
        <w:t>ти відповідності між видом гепу (додатний чи від’ємний) та прогнозами зміни напряму, швидкості й рівня відсот</w:t>
      </w:r>
      <w:r>
        <w:rPr>
          <w:lang w:val="uk-UA"/>
        </w:rPr>
        <w:t>кових ставок. Очевидно, що запо</w:t>
      </w:r>
      <w:r w:rsidRPr="0065222B">
        <w:rPr>
          <w:lang w:val="uk-UA"/>
        </w:rPr>
        <w:t xml:space="preserve">рукою успіху цієї стратегії є надійний </w:t>
      </w:r>
      <w:r>
        <w:rPr>
          <w:lang w:val="uk-UA"/>
        </w:rPr>
        <w:t>прогноз та передбачуваність еко</w:t>
      </w:r>
      <w:r w:rsidRPr="0065222B">
        <w:rPr>
          <w:lang w:val="uk-UA"/>
        </w:rPr>
        <w:t>номічної ситуації. Якщо спрогнозувати з</w:t>
      </w:r>
      <w:r>
        <w:rPr>
          <w:lang w:val="uk-UA"/>
        </w:rPr>
        <w:t>міну відсоткових ставок неможли</w:t>
      </w:r>
      <w:r w:rsidRPr="0065222B">
        <w:rPr>
          <w:lang w:val="uk-UA"/>
        </w:rPr>
        <w:t>во, наприклад, через нестабільність економіки або під час кризових періодів, значно безпечнішою для банку буде стратегія фіксації спреду.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rPr>
          <w:lang w:val="uk-UA"/>
        </w:rPr>
        <w:t>П</w:t>
      </w:r>
      <w:r>
        <w:t>рактичне застосування геп-менеджменту засвідчило низку істотних недоліків цього підходу.</w:t>
      </w:r>
    </w:p>
    <w:p w:rsidR="0065222B" w:rsidRDefault="0065222B" w:rsidP="003059CF">
      <w:pPr>
        <w:spacing w:line="240" w:lineRule="auto"/>
        <w:ind w:firstLine="709"/>
        <w:rPr>
          <w:lang w:val="uk-UA"/>
        </w:rPr>
      </w:pPr>
      <w:r>
        <w:t xml:space="preserve"> 1. Навіть нульовий геп не гарантує повного захисту від ризику, оскільки ставки за активами та зобов’язаннями можуть змінюватися несинхронно</w:t>
      </w:r>
      <w:r>
        <w:rPr>
          <w:lang w:val="uk-UA"/>
        </w:rPr>
        <w:t>.</w:t>
      </w:r>
    </w:p>
    <w:p w:rsidR="0065222B" w:rsidRDefault="005A1102" w:rsidP="003059CF">
      <w:pPr>
        <w:spacing w:line="240" w:lineRule="auto"/>
        <w:ind w:firstLine="709"/>
        <w:rPr>
          <w:lang w:val="uk-UA"/>
        </w:rPr>
      </w:pPr>
      <w:r w:rsidRPr="005A1102">
        <w:rPr>
          <w:lang w:val="uk-UA"/>
        </w:rPr>
        <w:t>2. Методи управління гепом потребують наявності точного та надійного прогнозу змінюваності відсоткових ставок, який є необхідною умовою ефективного застосування цього підходу.</w:t>
      </w:r>
    </w:p>
    <w:p w:rsidR="005A1102" w:rsidRDefault="005A1102" w:rsidP="003059CF">
      <w:pPr>
        <w:spacing w:line="240" w:lineRule="auto"/>
        <w:ind w:firstLine="709"/>
        <w:rPr>
          <w:lang w:val="uk-UA"/>
        </w:rPr>
      </w:pPr>
      <w:r>
        <w:t xml:space="preserve">3. Ефективність управління кумулятивним гепом </w:t>
      </w:r>
      <w:proofErr w:type="gramStart"/>
      <w:r>
        <w:t>великою</w:t>
      </w:r>
      <w:proofErr w:type="gramEnd"/>
      <w:r>
        <w:t xml:space="preserve"> мірою залежить від правильності вибору часових інтервалів.</w:t>
      </w:r>
    </w:p>
    <w:p w:rsidR="005A1102" w:rsidRDefault="005A1102" w:rsidP="003059CF">
      <w:pPr>
        <w:spacing w:line="240" w:lineRule="auto"/>
        <w:ind w:firstLine="709"/>
        <w:rPr>
          <w:lang w:val="uk-UA"/>
        </w:rPr>
      </w:pPr>
      <w:r w:rsidRPr="005A1102">
        <w:rPr>
          <w:lang w:val="uk-UA"/>
        </w:rPr>
        <w:t>4. Перехід від додатного геп</w:t>
      </w:r>
      <w:r>
        <w:rPr>
          <w:lang w:val="uk-UA"/>
        </w:rPr>
        <w:t>у до від’ємного і навпаки потре</w:t>
      </w:r>
      <w:r w:rsidRPr="005A1102">
        <w:rPr>
          <w:lang w:val="uk-UA"/>
        </w:rPr>
        <w:t>бує певного часу, а банки не</w:t>
      </w:r>
      <w:r>
        <w:rPr>
          <w:lang w:val="uk-UA"/>
        </w:rPr>
        <w:t xml:space="preserve"> завжди мають у своєму розпоряд</w:t>
      </w:r>
      <w:r w:rsidRPr="005A1102">
        <w:rPr>
          <w:lang w:val="uk-UA"/>
        </w:rPr>
        <w:t>женні фінансові інструменти та механізми, я</w:t>
      </w:r>
      <w:r>
        <w:rPr>
          <w:lang w:val="uk-UA"/>
        </w:rPr>
        <w:t>кі б забезпечили швидкі зміни.</w:t>
      </w:r>
    </w:p>
    <w:p w:rsidR="002A74A4" w:rsidRDefault="002A74A4" w:rsidP="003059CF">
      <w:pPr>
        <w:spacing w:line="240" w:lineRule="auto"/>
        <w:ind w:firstLine="709"/>
        <w:rPr>
          <w:lang w:val="uk-UA"/>
        </w:rPr>
      </w:pPr>
    </w:p>
    <w:p w:rsidR="002A74A4" w:rsidRPr="00A417A9" w:rsidRDefault="002A74A4" w:rsidP="002A74A4">
      <w:pPr>
        <w:pStyle w:val="a3"/>
        <w:numPr>
          <w:ilvl w:val="0"/>
          <w:numId w:val="2"/>
        </w:numPr>
        <w:spacing w:line="240" w:lineRule="auto"/>
        <w:rPr>
          <w:b/>
          <w:lang w:val="uk-UA"/>
        </w:rPr>
      </w:pPr>
      <w:r w:rsidRPr="002A74A4">
        <w:rPr>
          <w:b/>
        </w:rPr>
        <w:t>Імунізація балансу банку</w:t>
      </w:r>
    </w:p>
    <w:p w:rsidR="00A417A9" w:rsidRDefault="00A417A9" w:rsidP="00A417A9">
      <w:pPr>
        <w:spacing w:line="240" w:lineRule="auto"/>
        <w:ind w:left="720"/>
        <w:rPr>
          <w:b/>
          <w:lang w:val="uk-UA"/>
        </w:rPr>
      </w:pPr>
    </w:p>
    <w:p w:rsidR="00A417A9" w:rsidRDefault="00A417A9" w:rsidP="00A417A9">
      <w:pPr>
        <w:spacing w:line="240" w:lineRule="auto"/>
        <w:ind w:firstLine="709"/>
        <w:rPr>
          <w:lang w:val="uk-UA"/>
        </w:rPr>
      </w:pPr>
      <w:r w:rsidRPr="00A417A9">
        <w:rPr>
          <w:lang w:val="uk-UA"/>
        </w:rPr>
        <w:t xml:space="preserve">У найширшому сенсі портфельною імунізацією називають підбір та включення до портфеля таких фінансових інструментів, які мінімізують його чутливість до зміни відсоткових ставок на ринку. </w:t>
      </w:r>
      <w:r>
        <w:t xml:space="preserve">Отже, </w:t>
      </w:r>
      <w:r w:rsidRPr="00A417A9">
        <w:rPr>
          <w:b/>
        </w:rPr>
        <w:t xml:space="preserve">імунізацію </w:t>
      </w:r>
      <w:r>
        <w:t xml:space="preserve">можна трактувати як нечутливість портфеля до коливань відсоткових ставок </w:t>
      </w:r>
      <w:proofErr w:type="gramStart"/>
      <w:r>
        <w:t>на</w:t>
      </w:r>
      <w:proofErr w:type="gramEnd"/>
      <w:r>
        <w:t xml:space="preserve"> ринку. </w:t>
      </w:r>
    </w:p>
    <w:p w:rsidR="00A417A9" w:rsidRDefault="00A417A9" w:rsidP="00A417A9">
      <w:pPr>
        <w:spacing w:line="240" w:lineRule="auto"/>
        <w:ind w:firstLine="709"/>
        <w:rPr>
          <w:lang w:val="uk-UA"/>
        </w:rPr>
      </w:pPr>
      <w:r w:rsidRPr="00A417A9">
        <w:rPr>
          <w:lang w:val="uk-UA"/>
        </w:rPr>
        <w:t xml:space="preserve">Стосовно банківської діяльності зміст цього методу зниження відсоткового ризику полягає в підборі </w:t>
      </w:r>
      <w:r>
        <w:rPr>
          <w:lang w:val="uk-UA"/>
        </w:rPr>
        <w:t>та включенні до складу банківсь</w:t>
      </w:r>
      <w:r w:rsidRPr="00A417A9">
        <w:rPr>
          <w:lang w:val="uk-UA"/>
        </w:rPr>
        <w:t xml:space="preserve">ких </w:t>
      </w:r>
      <w:r w:rsidRPr="00A417A9">
        <w:rPr>
          <w:lang w:val="uk-UA"/>
        </w:rPr>
        <w:lastRenderedPageBreak/>
        <w:t>портфелів таких фінансових інструме</w:t>
      </w:r>
      <w:r>
        <w:rPr>
          <w:lang w:val="uk-UA"/>
        </w:rPr>
        <w:t>нтів, які дозволяють мінімізува</w:t>
      </w:r>
      <w:r w:rsidRPr="00A417A9">
        <w:rPr>
          <w:lang w:val="uk-UA"/>
        </w:rPr>
        <w:t>ти чутливість різниці між вартістю активів та зобов’язань банку до зміни відсоткових ставок на ринку, тобто захищають банківський капітал від впливу відсоткового ризику</w:t>
      </w:r>
      <w:r>
        <w:rPr>
          <w:lang w:val="uk-UA"/>
        </w:rPr>
        <w:t>.</w:t>
      </w:r>
    </w:p>
    <w:p w:rsidR="00A417A9" w:rsidRDefault="00A417A9" w:rsidP="00A417A9">
      <w:pPr>
        <w:spacing w:line="240" w:lineRule="auto"/>
        <w:ind w:firstLine="709"/>
        <w:rPr>
          <w:lang w:val="uk-UA"/>
        </w:rPr>
      </w:pPr>
      <w:r w:rsidRPr="00A417A9">
        <w:rPr>
          <w:lang w:val="uk-UA"/>
        </w:rPr>
        <w:t xml:space="preserve">Отже, </w:t>
      </w:r>
      <w:r w:rsidRPr="00A417A9">
        <w:rPr>
          <w:b/>
          <w:lang w:val="uk-UA"/>
        </w:rPr>
        <w:t>метою імунізації</w:t>
      </w:r>
      <w:r w:rsidRPr="00A417A9">
        <w:rPr>
          <w:lang w:val="uk-UA"/>
        </w:rPr>
        <w:t xml:space="preserve"> є захист балансу банку від будь-яких змін ринкових відсоткових ставок пр</w:t>
      </w:r>
      <w:r>
        <w:rPr>
          <w:lang w:val="uk-UA"/>
        </w:rPr>
        <w:t>отягом певного зафіксованого періоду (планового горизонту).</w:t>
      </w:r>
    </w:p>
    <w:p w:rsidR="00A417A9" w:rsidRDefault="00A417A9" w:rsidP="00A417A9">
      <w:pPr>
        <w:spacing w:line="240" w:lineRule="auto"/>
        <w:ind w:firstLine="709"/>
        <w:rPr>
          <w:lang w:val="uk-UA"/>
        </w:rPr>
      </w:pPr>
      <w:r w:rsidRPr="00A417A9">
        <w:rPr>
          <w:b/>
          <w:lang w:val="uk-UA"/>
        </w:rPr>
        <w:t>Головне завдання</w:t>
      </w:r>
      <w:r w:rsidRPr="00A417A9">
        <w:rPr>
          <w:lang w:val="uk-UA"/>
        </w:rPr>
        <w:t xml:space="preserve"> в процесі імунізації банківського балансу полягає в підборі такої комбінації активів і пасивів, яка робить баланс нечутливим до змін ринкових ставок. При цьому окремі статті балансу залишаються чу</w:t>
      </w:r>
      <w:r>
        <w:rPr>
          <w:lang w:val="uk-UA"/>
        </w:rPr>
        <w:t>тливими до зміни параметрів рин</w:t>
      </w:r>
      <w:r w:rsidRPr="00A417A9">
        <w:rPr>
          <w:lang w:val="uk-UA"/>
        </w:rPr>
        <w:t>ку, але результати переоцінки ак</w:t>
      </w:r>
      <w:r>
        <w:rPr>
          <w:lang w:val="uk-UA"/>
        </w:rPr>
        <w:t>тивів та зобов’язань взаємно по</w:t>
      </w:r>
      <w:r w:rsidRPr="00A417A9">
        <w:rPr>
          <w:lang w:val="uk-UA"/>
        </w:rPr>
        <w:t>гашаються. Дібравши склад та структуру балансових статей так, аби середній строк погашення а</w:t>
      </w:r>
      <w:r>
        <w:rPr>
          <w:lang w:val="uk-UA"/>
        </w:rPr>
        <w:t>ктивів приблизно збігався із се</w:t>
      </w:r>
      <w:r w:rsidRPr="00A417A9">
        <w:rPr>
          <w:lang w:val="uk-UA"/>
        </w:rPr>
        <w:t>реднім строком погашення зобов’язань, банк може захиститися від негативного впливу ризику зміни відсоткових ставок.</w:t>
      </w:r>
    </w:p>
    <w:p w:rsidR="00A417A9" w:rsidRDefault="00A417A9" w:rsidP="00A417A9">
      <w:pPr>
        <w:spacing w:line="240" w:lineRule="auto"/>
        <w:ind w:firstLine="709"/>
        <w:rPr>
          <w:lang w:val="uk-UA"/>
        </w:rPr>
      </w:pPr>
      <w:r w:rsidRPr="00A417A9">
        <w:rPr>
          <w:lang w:val="uk-UA"/>
        </w:rPr>
        <w:t>Оскільки методика портфельн</w:t>
      </w:r>
      <w:r>
        <w:rPr>
          <w:lang w:val="uk-UA"/>
        </w:rPr>
        <w:t>ої імунізації передбачає знижен</w:t>
      </w:r>
      <w:r w:rsidRPr="00A417A9">
        <w:rPr>
          <w:lang w:val="uk-UA"/>
        </w:rPr>
        <w:t>ня чутливості фінансових інструментів до впливу відсоткового ризику, то виникає потреба у вимірюванні такої характеристики як чутливість</w:t>
      </w:r>
      <w:r>
        <w:rPr>
          <w:lang w:val="uk-UA"/>
        </w:rPr>
        <w:t xml:space="preserve">. </w:t>
      </w:r>
      <w:r w:rsidRPr="00A417A9">
        <w:rPr>
          <w:lang w:val="uk-UA"/>
        </w:rPr>
        <w:t xml:space="preserve">Показником, який найчастіше застосовується для цього, є середньозважений строк погашення фінансового інструмента </w:t>
      </w:r>
      <w:r>
        <w:rPr>
          <w:lang w:val="uk-UA"/>
        </w:rPr>
        <w:t>-</w:t>
      </w:r>
      <w:r w:rsidRPr="00A417A9">
        <w:rPr>
          <w:lang w:val="uk-UA"/>
        </w:rPr>
        <w:t xml:space="preserve"> </w:t>
      </w:r>
      <w:r w:rsidRPr="00A417A9">
        <w:rPr>
          <w:b/>
          <w:lang w:val="uk-UA"/>
        </w:rPr>
        <w:t>дюрація</w:t>
      </w:r>
      <w:r w:rsidRPr="00A417A9">
        <w:rPr>
          <w:lang w:val="uk-UA"/>
        </w:rPr>
        <w:t>.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 w:rsidRPr="00AE64E6">
        <w:rPr>
          <w:lang w:val="uk-UA"/>
        </w:rPr>
        <w:t>Оскільки вартість активів перевищує вартість зобов’язань на величину капіталу банку, то</w:t>
      </w:r>
      <w:r>
        <w:rPr>
          <w:lang w:val="uk-UA"/>
        </w:rPr>
        <w:t xml:space="preserve"> співвідношення між дюрацією ак</w:t>
      </w:r>
      <w:r w:rsidRPr="00AE64E6">
        <w:rPr>
          <w:lang w:val="uk-UA"/>
        </w:rPr>
        <w:t>тивів та зобов’язань банку описується за допомогою моделі:</w:t>
      </w:r>
    </w:p>
    <w:p w:rsidR="00AE64E6" w:rsidRPr="00AE64E6" w:rsidRDefault="00AE64E6" w:rsidP="00A417A9">
      <w:pPr>
        <w:spacing w:line="240" w:lineRule="auto"/>
        <w:ind w:firstLine="709"/>
        <w:rPr>
          <w:rFonts w:eastAsiaTheme="minorEastAsia"/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A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lang w:val="uk-UA"/>
                </w:rPr>
                <m:t>L</m:t>
              </m:r>
            </m:sub>
          </m:sSub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L</m:t>
              </m:r>
            </m:num>
            <m:den>
              <m:r>
                <w:rPr>
                  <w:rFonts w:ascii="Cambria Math" w:hAnsi="Cambria Math"/>
                  <w:lang w:val="uk-UA"/>
                </w:rPr>
                <m:t>A</m:t>
              </m:r>
            </m:den>
          </m:f>
          <m:r>
            <w:rPr>
              <w:rFonts w:ascii="Cambria Math" w:hAnsi="Cambria Math"/>
              <w:lang w:val="uk-UA"/>
            </w:rPr>
            <m:t xml:space="preserve">                                                              (7.10)</m:t>
          </m:r>
        </m:oMath>
      </m:oMathPara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t xml:space="preserve">де </w:t>
      </w:r>
      <w:proofErr w:type="gramStart"/>
      <w:r>
        <w:t>D</w:t>
      </w:r>
      <w:proofErr w:type="gramEnd"/>
      <w:r>
        <w:t xml:space="preserve">А — зважений за вартістю надходжень строк погашення (дюрація) активів; 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t>DL — дюрація зобов’язань;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t xml:space="preserve"> L — загальний обсяг зобов’язань; 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t>А — обсяг активі</w:t>
      </w:r>
      <w:proofErr w:type="gramStart"/>
      <w:r>
        <w:t>в</w:t>
      </w:r>
      <w:proofErr w:type="gramEnd"/>
      <w:r>
        <w:t>.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 w:rsidRPr="00AE64E6">
        <w:rPr>
          <w:lang w:val="uk-UA"/>
        </w:rPr>
        <w:t>Відношення зобов’язань до</w:t>
      </w:r>
      <w:r>
        <w:rPr>
          <w:lang w:val="uk-UA"/>
        </w:rPr>
        <w:t xml:space="preserve"> активів має бути меншим за оди</w:t>
      </w:r>
      <w:r w:rsidRPr="00AE64E6">
        <w:rPr>
          <w:lang w:val="uk-UA"/>
        </w:rPr>
        <w:t>ницю, тому із співвідношення (7.10) в</w:t>
      </w:r>
      <w:r>
        <w:rPr>
          <w:lang w:val="uk-UA"/>
        </w:rPr>
        <w:t>ипливає, що дюрація портфеля ак</w:t>
      </w:r>
      <w:r w:rsidRPr="00AE64E6">
        <w:rPr>
          <w:lang w:val="uk-UA"/>
        </w:rPr>
        <w:t>тивів має бути коротшою за дюрацію портфеля зобов’язань. Це означає, що незалежно від напряму зміни відсоткових ставок активи банку мають переоцінюватися швидше, ніж зобов’язання.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 w:rsidRPr="00AE64E6">
        <w:rPr>
          <w:lang w:val="uk-UA"/>
        </w:rPr>
        <w:t xml:space="preserve">Чим більша різниця між </w:t>
      </w:r>
      <w:r>
        <w:rPr>
          <w:lang w:val="uk-UA"/>
        </w:rPr>
        <w:t>дюрацією активів та дюрацією зо</w:t>
      </w:r>
      <w:r w:rsidRPr="00AE64E6">
        <w:rPr>
          <w:lang w:val="uk-UA"/>
        </w:rPr>
        <w:t>бов’язань банку, тим чутливі</w:t>
      </w:r>
      <w:r>
        <w:rPr>
          <w:lang w:val="uk-UA"/>
        </w:rPr>
        <w:t>шою до коливань відсоткових ста</w:t>
      </w:r>
      <w:r w:rsidRPr="00AE64E6">
        <w:rPr>
          <w:lang w:val="uk-UA"/>
        </w:rPr>
        <w:t>вок на ринку буде чиста вартість</w:t>
      </w:r>
      <w:r>
        <w:rPr>
          <w:lang w:val="uk-UA"/>
        </w:rPr>
        <w:t xml:space="preserve"> банківської установи, тобто ве</w:t>
      </w:r>
      <w:r w:rsidRPr="00AE64E6">
        <w:rPr>
          <w:lang w:val="uk-UA"/>
        </w:rPr>
        <w:t>личина акціонерного капіталу.</w:t>
      </w:r>
      <w:r>
        <w:rPr>
          <w:lang w:val="uk-UA"/>
        </w:rPr>
        <w:t xml:space="preserve"> За умови, коли дюрація зобов’я</w:t>
      </w:r>
      <w:r w:rsidRPr="00AE64E6">
        <w:rPr>
          <w:lang w:val="uk-UA"/>
        </w:rPr>
        <w:t>зань істотно коротша порівняно з дюрацією портфеля активів, капітал банку зростатиме зі з</w:t>
      </w:r>
      <w:r>
        <w:rPr>
          <w:lang w:val="uk-UA"/>
        </w:rPr>
        <w:t>ниженням ринкових ставок і змен</w:t>
      </w:r>
      <w:r w:rsidRPr="00AE64E6">
        <w:rPr>
          <w:lang w:val="uk-UA"/>
        </w:rPr>
        <w:t>шуватиметься з їх підвищенням.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 w:rsidRPr="00AE64E6">
        <w:rPr>
          <w:lang w:val="uk-UA"/>
        </w:rPr>
        <w:t xml:space="preserve"> Отже, </w:t>
      </w:r>
      <w:r w:rsidRPr="00AE64E6">
        <w:rPr>
          <w:b/>
          <w:lang w:val="uk-UA"/>
        </w:rPr>
        <w:t>загальне правило управління відсотковим ризиком</w:t>
      </w:r>
      <w:r>
        <w:rPr>
          <w:lang w:val="uk-UA"/>
        </w:rPr>
        <w:t xml:space="preserve"> зали</w:t>
      </w:r>
      <w:r w:rsidRPr="00AE64E6">
        <w:rPr>
          <w:lang w:val="uk-UA"/>
        </w:rPr>
        <w:t xml:space="preserve">шається незмінним: 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lastRenderedPageBreak/>
        <w:sym w:font="Symbol" w:char="F0B7"/>
      </w:r>
      <w:r w:rsidRPr="00AE64E6">
        <w:rPr>
          <w:lang w:val="uk-UA"/>
        </w:rPr>
        <w:t xml:space="preserve"> за додатного розриву між дюраціями активів і зобов’язань (</w:t>
      </w:r>
      <w:r>
        <w:t>D</w:t>
      </w:r>
      <w:r w:rsidRPr="00AE64E6">
        <w:rPr>
          <w:lang w:val="uk-UA"/>
        </w:rPr>
        <w:t xml:space="preserve">А &gt; </w:t>
      </w:r>
      <w:r>
        <w:t>DL</w:t>
      </w:r>
      <w:r w:rsidRPr="00AE64E6">
        <w:rPr>
          <w:lang w:val="uk-UA"/>
        </w:rPr>
        <w:t xml:space="preserve">) вартість капіталу зростатиме в разі підвищення ставок на ринку і зменшуватиметься зі зниженням відсоткових ставок; 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  <w:r>
        <w:sym w:font="Symbol" w:char="F0B7"/>
      </w:r>
      <w:r w:rsidRPr="00AE64E6">
        <w:rPr>
          <w:lang w:val="uk-UA"/>
        </w:rPr>
        <w:t xml:space="preserve"> якщо розрив від’ємний (</w:t>
      </w:r>
      <w:r>
        <w:t>D</w:t>
      </w:r>
      <w:r w:rsidRPr="00AE64E6">
        <w:rPr>
          <w:lang w:val="uk-UA"/>
        </w:rPr>
        <w:t xml:space="preserve">А &lt; </w:t>
      </w:r>
      <w:r>
        <w:t>DL</w:t>
      </w:r>
      <w:r w:rsidRPr="00AE64E6">
        <w:rPr>
          <w:lang w:val="uk-UA"/>
        </w:rPr>
        <w:t xml:space="preserve"> ), то підвищення ставок призведе до скорочення капіталу, а їх зниження — до збільшення капіталу.</w:t>
      </w:r>
    </w:p>
    <w:p w:rsidR="00AE64E6" w:rsidRDefault="00AE64E6" w:rsidP="00A417A9">
      <w:pPr>
        <w:spacing w:line="240" w:lineRule="auto"/>
        <w:ind w:firstLine="709"/>
        <w:rPr>
          <w:lang w:val="uk-UA"/>
        </w:rPr>
      </w:pPr>
    </w:p>
    <w:p w:rsidR="00AE64E6" w:rsidRPr="00AE64E6" w:rsidRDefault="00AE64E6" w:rsidP="00AE64E6">
      <w:pPr>
        <w:pStyle w:val="a3"/>
        <w:numPr>
          <w:ilvl w:val="0"/>
          <w:numId w:val="2"/>
        </w:numPr>
        <w:spacing w:line="240" w:lineRule="auto"/>
        <w:rPr>
          <w:b/>
          <w:lang w:val="uk-UA"/>
        </w:rPr>
      </w:pPr>
      <w:r w:rsidRPr="00AE64E6">
        <w:rPr>
          <w:b/>
        </w:rPr>
        <w:t>Управління валютним ризиком банку</w:t>
      </w:r>
    </w:p>
    <w:p w:rsidR="00AE64E6" w:rsidRPr="00AE64E6" w:rsidRDefault="00AE64E6" w:rsidP="00AE64E6">
      <w:pPr>
        <w:pStyle w:val="a3"/>
        <w:numPr>
          <w:ilvl w:val="0"/>
          <w:numId w:val="3"/>
        </w:numPr>
        <w:spacing w:line="240" w:lineRule="auto"/>
        <w:jc w:val="center"/>
        <w:rPr>
          <w:b/>
          <w:lang w:val="uk-UA"/>
        </w:rPr>
      </w:pPr>
      <w:r w:rsidRPr="00AE64E6">
        <w:rPr>
          <w:b/>
        </w:rPr>
        <w:t>Валютні операції та валютний ризик банку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 w:rsidRPr="00AE64E6">
        <w:rPr>
          <w:lang w:val="uk-UA"/>
        </w:rPr>
        <w:t>Валютний ризик відображає ймовірність фінансових втрат унаслідок того, що курс однієї валюти щодо іншої змін</w:t>
      </w:r>
      <w:r>
        <w:rPr>
          <w:lang w:val="uk-UA"/>
        </w:rPr>
        <w:t>иться про</w:t>
      </w:r>
      <w:r w:rsidRPr="00AE64E6">
        <w:rPr>
          <w:lang w:val="uk-UA"/>
        </w:rPr>
        <w:t xml:space="preserve">тягом певного часу. </w:t>
      </w:r>
      <w:r>
        <w:t xml:space="preserve">У реальному житті валютні курси дуже </w:t>
      </w:r>
      <w:proofErr w:type="gramStart"/>
      <w:r>
        <w:t>р</w:t>
      </w:r>
      <w:proofErr w:type="gramEnd"/>
      <w:r>
        <w:t>ідко вдається більш чи менш довго втримати на одному й тому самому рівні. Отже, валютний ризик існує майже завжди, коли здійснюються операції з іноземною валютою. Величина валютного ризику залежить від величини валютної позиції, яку займає банк у кожний конкретний момент часу, та від зміни валютних курсі</w:t>
      </w:r>
      <w:proofErr w:type="gramStart"/>
      <w:r>
        <w:t>в</w:t>
      </w:r>
      <w:proofErr w:type="gramEnd"/>
      <w:r>
        <w:t xml:space="preserve"> на ринку</w:t>
      </w:r>
      <w:r>
        <w:rPr>
          <w:lang w:val="uk-UA"/>
        </w:rPr>
        <w:t>.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t>Валютні операції проводяться як на замовлення та за рахунок клієнті</w:t>
      </w:r>
      <w:proofErr w:type="gramStart"/>
      <w:r>
        <w:t>в</w:t>
      </w:r>
      <w:proofErr w:type="gramEnd"/>
      <w:r>
        <w:t xml:space="preserve">, так і для задоволення власних </w:t>
      </w:r>
      <w:proofErr w:type="gramStart"/>
      <w:r>
        <w:t>потреб</w:t>
      </w:r>
      <w:proofErr w:type="gramEnd"/>
      <w:r>
        <w:t xml:space="preserve"> банку. Для банку основною метою проведення власних обмінних валютних операцій є одержання прибутків </w:t>
      </w:r>
      <w:proofErr w:type="gramStart"/>
      <w:r>
        <w:t>в</w:t>
      </w:r>
      <w:proofErr w:type="gramEnd"/>
      <w:r>
        <w:t>ід різниці між курсами купівлі та продажу валюти</w:t>
      </w:r>
      <w:r>
        <w:rPr>
          <w:lang w:val="uk-UA"/>
        </w:rPr>
        <w:t>.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Проведення валютних операцій за рахунок клієнтів дозволяє банку уникати ризику, пов’язаного зі зміною валютних курсів, на який </w:t>
      </w:r>
      <w:proofErr w:type="gramStart"/>
      <w:r>
        <w:t>у</w:t>
      </w:r>
      <w:proofErr w:type="gramEnd"/>
      <w:r>
        <w:t xml:space="preserve"> такому разі наражається клієнт. Ця обставина спонукає банки розширяти спектр пропонованих послуг у сфері </w:t>
      </w:r>
      <w:proofErr w:type="gramStart"/>
      <w:r>
        <w:t>валютного</w:t>
      </w:r>
      <w:proofErr w:type="gramEnd"/>
      <w:r>
        <w:t xml:space="preserve"> обслуговування клієнтів</w:t>
      </w:r>
      <w:r>
        <w:rPr>
          <w:lang w:val="uk-UA"/>
        </w:rPr>
        <w:t>.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 w:rsidRPr="00AE64E6">
        <w:rPr>
          <w:lang w:val="uk-UA"/>
        </w:rPr>
        <w:t xml:space="preserve">Валютні операції поділяються на </w:t>
      </w:r>
      <w:r w:rsidRPr="00AE64E6">
        <w:rPr>
          <w:b/>
          <w:lang w:val="uk-UA"/>
        </w:rPr>
        <w:t>спотові</w:t>
      </w:r>
      <w:r w:rsidRPr="00AE64E6">
        <w:rPr>
          <w:lang w:val="uk-UA"/>
        </w:rPr>
        <w:t xml:space="preserve"> (касові, готівкові) та </w:t>
      </w:r>
      <w:r w:rsidRPr="00AE64E6">
        <w:rPr>
          <w:b/>
          <w:lang w:val="uk-UA"/>
        </w:rPr>
        <w:t>строкові</w:t>
      </w:r>
      <w:r w:rsidRPr="00AE64E6">
        <w:rPr>
          <w:lang w:val="uk-UA"/>
        </w:rPr>
        <w:t xml:space="preserve"> (форвардні). 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До </w:t>
      </w:r>
      <w:r w:rsidRPr="00AE64E6">
        <w:rPr>
          <w:b/>
        </w:rPr>
        <w:t>спотових операцій</w:t>
      </w:r>
      <w:r>
        <w:t xml:space="preserve"> належать угоди типу «овернайт» (overnight), </w:t>
      </w:r>
      <w:proofErr w:type="gramStart"/>
      <w:r>
        <w:t>коли</w:t>
      </w:r>
      <w:proofErr w:type="gramEnd"/>
      <w:r>
        <w:t xml:space="preserve"> куплена валюта має бути надана в розпорядження покупця в день укладання угоди або наступного дня, та угоди спот (spot), якими передбачається поставляння валюти через два робочі дні від дати угоди. 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Якщо період від дати укладання валютної угоди до дати проведення </w:t>
      </w:r>
      <w:proofErr w:type="gramStart"/>
      <w:r>
        <w:t>реального</w:t>
      </w:r>
      <w:proofErr w:type="gramEnd"/>
      <w:r>
        <w:t xml:space="preserve"> обміну валютами — дати валютування, становить понад два робочі дні, то операція називається </w:t>
      </w:r>
      <w:r w:rsidRPr="00AE64E6">
        <w:rPr>
          <w:b/>
        </w:rPr>
        <w:t>строковою</w:t>
      </w:r>
      <w:r>
        <w:t>, або форвардною.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 w:rsidRPr="00AE64E6">
        <w:rPr>
          <w:b/>
        </w:rPr>
        <w:t>Операції спот.</w:t>
      </w:r>
      <w:r>
        <w:t xml:space="preserve"> </w:t>
      </w:r>
      <w:proofErr w:type="gramStart"/>
      <w:r>
        <w:t>Б</w:t>
      </w:r>
      <w:proofErr w:type="gramEnd"/>
      <w:r>
        <w:t xml:space="preserve">ільшість усіх валютних операцій здійснюється на умовах спот. Два робочі дні, що відводяться на спотову операцію, дозволяють перевести кошти в будь-яку країну і завершити оформлення угоди, незважаючи на </w:t>
      </w:r>
      <w:proofErr w:type="gramStart"/>
      <w:r>
        <w:t>р</w:t>
      </w:r>
      <w:proofErr w:type="gramEnd"/>
      <w:r>
        <w:t>ізницю в часових поясах учасників торгівлі. Базою для проведення операцій спот служать міжбанківські кореспондентські відносини.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Здійснюючи спотові операції, банк може мати </w:t>
      </w:r>
      <w:proofErr w:type="gramStart"/>
      <w:r>
        <w:t>на</w:t>
      </w:r>
      <w:proofErr w:type="gramEnd"/>
      <w:r>
        <w:t xml:space="preserve"> меті: 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забезпечення потреб клієнтів банку в іноземній валюті;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переведення однієї валюти в іншу; </w:t>
      </w:r>
    </w:p>
    <w:p w:rsidR="00AE64E6" w:rsidRDefault="00AE64E6" w:rsidP="00AE64E6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проведення спекулятивних операцій.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  <w:lang w:val="uk-UA"/>
        </w:rPr>
        <w:t>Арбітражні валютні операції.</w:t>
      </w:r>
      <w:r w:rsidRPr="008C5B64">
        <w:rPr>
          <w:lang w:val="uk-UA"/>
        </w:rPr>
        <w:t xml:space="preserve"> Арбітражні операції з іноземною валютою здійснюються для отримання прибутку на різниці курсів валют через купівлю валюти найдешевшим способом, а продаж — найдорожчим. 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>
        <w:lastRenderedPageBreak/>
        <w:t xml:space="preserve">Існує декілька </w:t>
      </w:r>
      <w:r w:rsidRPr="008C5B64">
        <w:rPr>
          <w:b/>
        </w:rPr>
        <w:t>типів валютних арбітражних операцій</w:t>
      </w:r>
      <w:r>
        <w:t xml:space="preserve">: просторовий (географічний), часовий, конвертаційний, процентний. 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1. </w:t>
      </w:r>
      <w:r w:rsidRPr="008C5B64">
        <w:rPr>
          <w:b/>
        </w:rPr>
        <w:t>Просторовий арбітраж</w:t>
      </w:r>
      <w:r>
        <w:t xml:space="preserve"> базується на невідповідності курсів валюти на ринках </w:t>
      </w:r>
      <w:proofErr w:type="gramStart"/>
      <w:r>
        <w:t>р</w:t>
      </w:r>
      <w:proofErr w:type="gramEnd"/>
      <w:r>
        <w:t xml:space="preserve">ізних країн. Валютні кошти купують на ринку, де вони найдешевші, і продають на ринку, де курс цієї валюти найвищий. Продаж та купівля валюти на </w:t>
      </w:r>
      <w:proofErr w:type="gramStart"/>
      <w:r>
        <w:t>р</w:t>
      </w:r>
      <w:proofErr w:type="gramEnd"/>
      <w:r>
        <w:t xml:space="preserve">ізних ринках відбувається майже одночасно. 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2. </w:t>
      </w:r>
      <w:r w:rsidRPr="008C5B64">
        <w:rPr>
          <w:b/>
        </w:rPr>
        <w:t>Часовий арбітраж</w:t>
      </w:r>
      <w:r>
        <w:t xml:space="preserve"> спрямовано на використання волатильності валютних курсів протягом певних періодів часу. В результаті поширення системи плаваючих валютних курсів значення часового арбітражу зроста</w:t>
      </w:r>
      <w:proofErr w:type="gramStart"/>
      <w:r>
        <w:t>є.</w:t>
      </w:r>
      <w:proofErr w:type="gramEnd"/>
      <w:r>
        <w:t xml:space="preserve"> Як правило, при проведенні часового арбітражу операція має короткостроковий характер (в межах одного дня).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>
        <w:t xml:space="preserve"> 3. Змі</w:t>
      </w:r>
      <w:proofErr w:type="gramStart"/>
      <w:r>
        <w:t>ст</w:t>
      </w:r>
      <w:proofErr w:type="gramEnd"/>
      <w:r>
        <w:t xml:space="preserve"> </w:t>
      </w:r>
      <w:r w:rsidRPr="008C5B64">
        <w:rPr>
          <w:b/>
        </w:rPr>
        <w:t>конвертаційного арбітражу</w:t>
      </w:r>
      <w:r>
        <w:t xml:space="preserve"> полягає в купівлі валюти самим дешевим способом, конвертації її в іншу валюту та продажу останньої найвигіднішим способом. </w:t>
      </w:r>
      <w:proofErr w:type="gramStart"/>
      <w:r>
        <w:t>На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ідміну від просторового та часового арбітражу в операціях такого типу початкова та кінцева валюта не збігаються. Для проведення таких операцій використовують як можливості </w:t>
      </w:r>
      <w:proofErr w:type="gramStart"/>
      <w:r>
        <w:t>р</w:t>
      </w:r>
      <w:proofErr w:type="gramEnd"/>
      <w:r>
        <w:t xml:space="preserve">ізних ринків, так і зміни валютних курсів у часі. Конвертаційний арбітраж може включати обмін декількох валют на відміну від операції спот, де відбувається обмін тільки двох валют. 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 xml:space="preserve">4. </w:t>
      </w:r>
      <w:r w:rsidRPr="008C5B64">
        <w:rPr>
          <w:b/>
          <w:lang w:val="uk-UA"/>
        </w:rPr>
        <w:t>Процентний арбітраж</w:t>
      </w:r>
      <w:r w:rsidRPr="008C5B64">
        <w:rPr>
          <w:lang w:val="uk-UA"/>
        </w:rPr>
        <w:t xml:space="preserve"> базується на використанні різниці у відсоткових ставках за різн</w:t>
      </w:r>
      <w:r>
        <w:rPr>
          <w:lang w:val="uk-UA"/>
        </w:rPr>
        <w:t>ими валютами, які виникають вна</w:t>
      </w:r>
      <w:r w:rsidRPr="008C5B64">
        <w:rPr>
          <w:lang w:val="uk-UA"/>
        </w:rPr>
        <w:t xml:space="preserve">слідок неузгодженості національних політик у сфері регулювання відсоткових ставок та нестабільності валютних курсів. </w:t>
      </w:r>
      <w:r>
        <w:t xml:space="preserve">За проведення операцій процентного арбітражу слід враховувати не лише </w:t>
      </w:r>
      <w:proofErr w:type="gramStart"/>
      <w:r>
        <w:t>р</w:t>
      </w:r>
      <w:proofErr w:type="gramEnd"/>
      <w:r>
        <w:t>ізницю у відсоткових ставках, але й величину валютного ризику.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</w:rPr>
        <w:t>Строкові операції.</w:t>
      </w:r>
      <w:r>
        <w:t xml:space="preserve"> Метою проведення строкових операцій з валютою може бути хеджування валютного ризику або одержання спекулятивних прибутків. Строковими угодами передбачається фіксація всіх умов, у тому числі й форвардного валютного курсу, у момент </w:t>
      </w:r>
      <w:proofErr w:type="gramStart"/>
      <w:r>
        <w:t>п</w:t>
      </w:r>
      <w:proofErr w:type="gramEnd"/>
      <w:r>
        <w:t>ідписання контракту.</w:t>
      </w:r>
    </w:p>
    <w:p w:rsidR="008C5B64" w:rsidRDefault="008C5B64" w:rsidP="00AE64E6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</w:rPr>
        <w:t>Валютні операції своп</w:t>
      </w:r>
      <w:r>
        <w:t xml:space="preserve"> полягають в одночасному проведенні двох протилежних за змістом операцій: купі</w:t>
      </w:r>
      <w:proofErr w:type="gramStart"/>
      <w:r>
        <w:t>вл</w:t>
      </w:r>
      <w:proofErr w:type="gramEnd"/>
      <w:r>
        <w:t>і (продажу) валютних коштів на умовах спот та продажу (купівлі) на умовах форвард.</w:t>
      </w:r>
    </w:p>
    <w:p w:rsidR="008C5B64" w:rsidRDefault="008C5B64" w:rsidP="008C5B64">
      <w:pPr>
        <w:pStyle w:val="a3"/>
        <w:spacing w:line="240" w:lineRule="auto"/>
        <w:ind w:left="0" w:firstLine="709"/>
        <w:jc w:val="center"/>
        <w:rPr>
          <w:b/>
          <w:lang w:val="uk-UA"/>
        </w:rPr>
      </w:pPr>
      <w:r>
        <w:rPr>
          <w:b/>
          <w:lang w:val="uk-UA"/>
        </w:rPr>
        <w:t>2.</w:t>
      </w:r>
      <w:r w:rsidRPr="008C5B64">
        <w:rPr>
          <w:b/>
        </w:rPr>
        <w:t>Визначення валютної позиції банку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t>Індикатором валютного ризику банку є валютна позиція. Валютна позиція визначається спі</w:t>
      </w:r>
      <w:proofErr w:type="gramStart"/>
      <w:r>
        <w:t>вв</w:t>
      </w:r>
      <w:proofErr w:type="gramEnd"/>
      <w:r>
        <w:t>ідношенням між сумою активів і позабалансових вимог у певній іноземній валюті та сумою балансових і позабалансових зобов’язань у тій самій валюті:</w:t>
      </w:r>
    </w:p>
    <w:p w:rsidR="008C5B64" w:rsidRPr="008C5B64" w:rsidRDefault="008C5B64" w:rsidP="008C5B64">
      <w:pPr>
        <w:pStyle w:val="a3"/>
        <w:spacing w:line="240" w:lineRule="auto"/>
        <w:ind w:left="0" w:firstLine="709"/>
        <w:rPr>
          <w:rFonts w:eastAsiaTheme="minorEastAsia"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 xml:space="preserve">VP=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A</m:t>
              </m:r>
            </m:e>
            <m:sub>
              <m:r>
                <w:rPr>
                  <w:rFonts w:ascii="Cambria Math" w:hAnsi="Cambria Math"/>
                  <w:lang w:val="uk-UA"/>
                </w:rPr>
                <m:t>V</m:t>
              </m:r>
            </m:sub>
          </m:sSub>
          <m:r>
            <w:rPr>
              <w:rFonts w:ascii="Cambria Math" w:hAnsi="Cambria Math"/>
              <w:lang w:val="uk-UA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L</m:t>
              </m:r>
            </m:e>
            <m:sub>
              <m:r>
                <w:rPr>
                  <w:rFonts w:ascii="Cambria Math" w:hAnsi="Cambria Math"/>
                  <w:lang w:val="uk-UA"/>
                </w:rPr>
                <m:t>V</m:t>
              </m:r>
            </m:sub>
          </m:sSub>
          <m:r>
            <w:rPr>
              <w:rFonts w:ascii="Cambria Math" w:hAnsi="Cambria Math"/>
              <w:lang w:val="uk-UA"/>
            </w:rPr>
            <m:t xml:space="preserve">                                                                 (7.11)</m:t>
          </m:r>
        </m:oMath>
      </m:oMathPara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t>Валютна позиція банку може бути відкритою або закритою і розраховується окремо за кожною іноземною валютою, що входить до мульти</w:t>
      </w:r>
      <w:r>
        <w:t>валютного портфеля банку.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 xml:space="preserve"> </w:t>
      </w:r>
      <w:r w:rsidRPr="008C5B64">
        <w:rPr>
          <w:b/>
          <w:lang w:val="uk-UA"/>
        </w:rPr>
        <w:t>Валютна позиція</w:t>
      </w:r>
      <w:r w:rsidRPr="008C5B64">
        <w:rPr>
          <w:lang w:val="uk-UA"/>
        </w:rPr>
        <w:t xml:space="preserve"> називається </w:t>
      </w:r>
      <w:r w:rsidRPr="008C5B64">
        <w:rPr>
          <w:b/>
          <w:lang w:val="uk-UA"/>
        </w:rPr>
        <w:t>відкритою,</w:t>
      </w:r>
      <w:r w:rsidRPr="008C5B64">
        <w:rPr>
          <w:lang w:val="uk-UA"/>
        </w:rPr>
        <w:t xml:space="preserve"> якщо сума активів в іноземній валюті не збігається з сумою пасивів в тій самій валюті.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>Існують два види відкритої позиції: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lastRenderedPageBreak/>
        <w:sym w:font="Symbol" w:char="F0B7"/>
      </w:r>
      <w:r w:rsidRPr="008C5B64">
        <w:rPr>
          <w:lang w:val="uk-UA"/>
        </w:rPr>
        <w:t xml:space="preserve"> чиста довга валютна позиція (А</w:t>
      </w:r>
      <w:r>
        <w:t>V</w:t>
      </w:r>
      <w:r>
        <w:rPr>
          <w:lang w:val="uk-UA"/>
        </w:rPr>
        <w:t>&gt;</w:t>
      </w:r>
      <w:r>
        <w:t>LV</w:t>
      </w:r>
      <w:r w:rsidRPr="008C5B64">
        <w:rPr>
          <w:lang w:val="uk-UA"/>
        </w:rPr>
        <w:t xml:space="preserve">) — сума активів в іноземній валюті перевищує суму відповідних пасивів (показник валютної позиції має знак «плюс»);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чиста коротка валютна позиція (А</w:t>
      </w:r>
      <w:r>
        <w:t>V</w:t>
      </w:r>
      <w:r>
        <w:rPr>
          <w:lang w:val="uk-UA"/>
        </w:rPr>
        <w:t>&lt;</w:t>
      </w:r>
      <w:r>
        <w:t>LV</w:t>
      </w:r>
      <w:r>
        <w:rPr>
          <w:lang w:val="uk-UA"/>
        </w:rPr>
        <w:t>) — сума зо</w:t>
      </w:r>
      <w:r w:rsidRPr="008C5B64">
        <w:rPr>
          <w:lang w:val="uk-UA"/>
        </w:rPr>
        <w:t>бов’язань перевищує суму активів у одній і тій самій іноземній валюті (показник валютної позиції зі знаком «мінус»).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>Якщо сума активів в іноземній валюті врівноважена сумою пасивів у тій самій іноземній валюті (А</w:t>
      </w:r>
      <w:r>
        <w:t>V</w:t>
      </w:r>
      <w:r w:rsidRPr="008C5B64">
        <w:rPr>
          <w:lang w:val="uk-UA"/>
        </w:rPr>
        <w:t xml:space="preserve"> = </w:t>
      </w:r>
      <w:r>
        <w:t>LV</w:t>
      </w:r>
      <w:r>
        <w:rPr>
          <w:lang w:val="uk-UA"/>
        </w:rPr>
        <w:t>), то така позиція на</w:t>
      </w:r>
      <w:r w:rsidRPr="008C5B64">
        <w:rPr>
          <w:lang w:val="uk-UA"/>
        </w:rPr>
        <w:t xml:space="preserve">зивається </w:t>
      </w:r>
      <w:r w:rsidRPr="008C5B64">
        <w:rPr>
          <w:b/>
          <w:lang w:val="uk-UA"/>
        </w:rPr>
        <w:t>закритою</w:t>
      </w:r>
      <w:r w:rsidRPr="008C5B64">
        <w:rPr>
          <w:lang w:val="uk-UA"/>
        </w:rPr>
        <w:t>, або позицією зведення чи відповідності. У такому разі валютного ризику м</w:t>
      </w:r>
      <w:r>
        <w:rPr>
          <w:lang w:val="uk-UA"/>
        </w:rPr>
        <w:t>айже немає, адже зміна курсу од</w:t>
      </w:r>
      <w:r w:rsidRPr="008C5B64">
        <w:rPr>
          <w:lang w:val="uk-UA"/>
        </w:rPr>
        <w:t>нієї валюти щодо іншої однаково</w:t>
      </w:r>
      <w:r>
        <w:rPr>
          <w:lang w:val="uk-UA"/>
        </w:rPr>
        <w:t xml:space="preserve"> позначається як на вартості ак</w:t>
      </w:r>
      <w:r w:rsidRPr="008C5B64">
        <w:rPr>
          <w:lang w:val="uk-UA"/>
        </w:rPr>
        <w:t xml:space="preserve">тивів, так і на вартості пасивів, а це не потягне за собою ні втрат, ні доходів внаслідок зміни валютного курсу.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u w:val="single"/>
          <w:lang w:val="uk-UA"/>
        </w:rPr>
        <w:t>На валютну позицію банку впливають такі операції</w:t>
      </w:r>
      <w:r w:rsidRPr="008C5B64">
        <w:rPr>
          <w:lang w:val="uk-UA"/>
        </w:rPr>
        <w:t>: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 xml:space="preserve"> </w:t>
      </w:r>
      <w:r>
        <w:sym w:font="Symbol" w:char="F0B7"/>
      </w:r>
      <w:r w:rsidRPr="008C5B64">
        <w:rPr>
          <w:lang w:val="uk-UA"/>
        </w:rPr>
        <w:t xml:space="preserve"> купівля, продаж готівкової та безготівкової іноземної валюти, поточні та строкові операції, за якими виникають вимоги й</w:t>
      </w:r>
      <w:r>
        <w:rPr>
          <w:lang w:val="uk-UA"/>
        </w:rPr>
        <w:t xml:space="preserve"> зобов’язання в іно</w:t>
      </w:r>
      <w:r w:rsidRPr="008C5B64">
        <w:rPr>
          <w:lang w:val="uk-UA"/>
        </w:rPr>
        <w:t xml:space="preserve">земних валютах, незалежно від способів і форм розрахунків за ними;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одержання та сплата іноземної валюти у формі доходів, витрат та на</w:t>
      </w:r>
      <w:r w:rsidRPr="008C5B64">
        <w:rPr>
          <w:lang w:val="uk-UA"/>
        </w:rPr>
        <w:t xml:space="preserve">рахування процентних доходів і витрат;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надходження коштів у іно</w:t>
      </w:r>
      <w:r>
        <w:rPr>
          <w:lang w:val="uk-UA"/>
        </w:rPr>
        <w:t>земній валюті до статутного фон</w:t>
      </w:r>
      <w:r w:rsidRPr="008C5B64">
        <w:rPr>
          <w:lang w:val="uk-UA"/>
        </w:rPr>
        <w:t xml:space="preserve">ду банку;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погашення банком безнадійної заборгованості в іноземній валюті;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купівля та продаж основних засобів і товарно-матеріальних цінностей за іноземну валюту;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8C5B64">
        <w:rPr>
          <w:lang w:val="uk-UA"/>
        </w:rPr>
        <w:t xml:space="preserve"> інші обмінні операції з іноземною валютою</w:t>
      </w:r>
      <w:r>
        <w:rPr>
          <w:lang w:val="uk-UA"/>
        </w:rPr>
        <w:t>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 xml:space="preserve">Маючи </w:t>
      </w:r>
      <w:r w:rsidRPr="008C5B64">
        <w:rPr>
          <w:b/>
          <w:lang w:val="uk-UA"/>
        </w:rPr>
        <w:t>відкриту валютну позицію</w:t>
      </w:r>
      <w:r w:rsidRPr="008C5B64">
        <w:rPr>
          <w:lang w:val="uk-UA"/>
        </w:rPr>
        <w:t xml:space="preserve"> банк може отримат</w:t>
      </w:r>
      <w:r>
        <w:rPr>
          <w:lang w:val="uk-UA"/>
        </w:rPr>
        <w:t>и при</w:t>
      </w:r>
      <w:r w:rsidRPr="008C5B64">
        <w:rPr>
          <w:lang w:val="uk-UA"/>
        </w:rPr>
        <w:t>бутки чи зазнати збитків унаслід</w:t>
      </w:r>
      <w:r>
        <w:rPr>
          <w:lang w:val="uk-UA"/>
        </w:rPr>
        <w:t>ок зміни валютного курсу з огля</w:t>
      </w:r>
      <w:r w:rsidRPr="008C5B64">
        <w:rPr>
          <w:lang w:val="uk-UA"/>
        </w:rPr>
        <w:t xml:space="preserve">ду на таку залежність: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A8"/>
      </w:r>
      <w:r w:rsidRPr="008C5B64">
        <w:rPr>
          <w:lang w:val="uk-UA"/>
        </w:rPr>
        <w:t>довга валютна позиція приносить п</w:t>
      </w:r>
      <w:r>
        <w:rPr>
          <w:lang w:val="uk-UA"/>
        </w:rPr>
        <w:t>рибутки за підвищення курсу іно</w:t>
      </w:r>
      <w:r w:rsidRPr="008C5B64">
        <w:rPr>
          <w:lang w:val="uk-UA"/>
        </w:rPr>
        <w:t xml:space="preserve">земної валюти і завдає збитків у разі його зниження;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A8"/>
      </w:r>
      <w:r w:rsidRPr="008C5B64">
        <w:rPr>
          <w:lang w:val="uk-UA"/>
        </w:rPr>
        <w:t xml:space="preserve"> коротка валютна позиція приносить прибутки за зниження курсу іноземної валюти, але завдає збитків за підвищення курсу.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t>В Україні діяльність комерційних банків на валютному ринку регулюється Національним банком України через ліцензування валютних операцій та установлення обов’язкових нормативі</w:t>
      </w:r>
      <w:proofErr w:type="gramStart"/>
      <w:r>
        <w:t>в</w:t>
      </w:r>
      <w:proofErr w:type="gramEnd"/>
      <w:r>
        <w:rPr>
          <w:lang w:val="uk-UA"/>
        </w:rPr>
        <w:t>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  <w:lang w:val="uk-UA"/>
        </w:rPr>
        <w:t>Норматив ризику загальної відкритої валютної позиції (Н13</w:t>
      </w:r>
      <w:r w:rsidRPr="008C5B64">
        <w:rPr>
          <w:lang w:val="uk-UA"/>
        </w:rPr>
        <w:t>) визначається як відношення заг</w:t>
      </w:r>
      <w:r>
        <w:rPr>
          <w:lang w:val="uk-UA"/>
        </w:rPr>
        <w:t>альної величини відкритої валют</w:t>
      </w:r>
      <w:r w:rsidRPr="008C5B64">
        <w:rPr>
          <w:lang w:val="uk-UA"/>
        </w:rPr>
        <w:t>ної позиції за всіма іноземни</w:t>
      </w:r>
      <w:r>
        <w:rPr>
          <w:lang w:val="uk-UA"/>
        </w:rPr>
        <w:t>ми валютами у гривневому еквіва</w:t>
      </w:r>
      <w:r w:rsidRPr="008C5B64">
        <w:rPr>
          <w:lang w:val="uk-UA"/>
        </w:rPr>
        <w:t>ленті до регулятивного капіталу банку. Нормативне значення має не перевищув</w:t>
      </w:r>
      <w:r>
        <w:rPr>
          <w:lang w:val="uk-UA"/>
        </w:rPr>
        <w:t>ати 35</w:t>
      </w:r>
      <w:r w:rsidRPr="008C5B64">
        <w:rPr>
          <w:lang w:val="uk-UA"/>
        </w:rPr>
        <w:t>%.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</w:rPr>
        <w:t>Норматив ризику загальної довгої відкритої валютної позиції Н13-1</w:t>
      </w:r>
      <w:r>
        <w:t xml:space="preserve"> — відношення суми всіх довгих валютних позицій до </w:t>
      </w:r>
      <w:proofErr w:type="gramStart"/>
      <w:r>
        <w:t>регулятивного</w:t>
      </w:r>
      <w:proofErr w:type="gramEnd"/>
      <w:r>
        <w:t xml:space="preserve"> капіталу. Нормативне значення — </w:t>
      </w:r>
      <w:proofErr w:type="gramStart"/>
      <w:r>
        <w:t>не б</w:t>
      </w:r>
      <w:proofErr w:type="gramEnd"/>
      <w:r>
        <w:t>ільше 30%.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b/>
        </w:rPr>
        <w:t xml:space="preserve"> Норматив ризику загальної короткої відкритої валютної позиції Н13-2</w:t>
      </w:r>
      <w:r>
        <w:t xml:space="preserve"> — відношення суми усіх </w:t>
      </w:r>
      <w:proofErr w:type="gramStart"/>
      <w:r>
        <w:t>коротких</w:t>
      </w:r>
      <w:proofErr w:type="gramEnd"/>
      <w:r>
        <w:t xml:space="preserve"> валютних позицій до регулятивного капіталу. Нормативне значення — </w:t>
      </w:r>
      <w:proofErr w:type="gramStart"/>
      <w:r>
        <w:t>не б</w:t>
      </w:r>
      <w:proofErr w:type="gramEnd"/>
      <w:r>
        <w:t>ільше 5%.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</w:p>
    <w:p w:rsidR="008C5B64" w:rsidRP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</w:p>
    <w:p w:rsidR="008C5B64" w:rsidRDefault="008C5B64" w:rsidP="008C5B64">
      <w:pPr>
        <w:pStyle w:val="a3"/>
        <w:spacing w:line="240" w:lineRule="auto"/>
        <w:ind w:left="0" w:firstLine="709"/>
        <w:jc w:val="center"/>
        <w:rPr>
          <w:b/>
          <w:lang w:val="uk-UA"/>
        </w:rPr>
      </w:pPr>
      <w:r>
        <w:rPr>
          <w:b/>
          <w:lang w:val="uk-UA"/>
        </w:rPr>
        <w:lastRenderedPageBreak/>
        <w:t>3.</w:t>
      </w:r>
      <w:r w:rsidRPr="008C5B64">
        <w:rPr>
          <w:b/>
        </w:rPr>
        <w:t>Стратегії управління валютним ризиком банку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>
        <w:t xml:space="preserve">У процесі управління валютним ризиком банк може застосувати дві альтернативні стратегії, утримуючи валютну позицію закритою (стратегія </w:t>
      </w:r>
      <w:proofErr w:type="gramStart"/>
      <w:r>
        <w:t>валютного</w:t>
      </w:r>
      <w:proofErr w:type="gramEnd"/>
      <w:r>
        <w:t xml:space="preserve"> метчингу) або відкритою (стратегія максимізації прибутку). </w:t>
      </w:r>
    </w:p>
    <w:p w:rsidR="008C5B64" w:rsidRDefault="008C5B64" w:rsidP="008C5B64">
      <w:pPr>
        <w:pStyle w:val="a3"/>
        <w:spacing w:line="240" w:lineRule="auto"/>
        <w:ind w:left="0" w:firstLine="709"/>
        <w:rPr>
          <w:lang w:val="uk-UA"/>
        </w:rPr>
      </w:pPr>
      <w:r w:rsidRPr="008C5B64">
        <w:rPr>
          <w:lang w:val="uk-UA"/>
        </w:rPr>
        <w:t>Стратегія управління активами і пасивами, яка передбачає вирівнювання валютної струк</w:t>
      </w:r>
      <w:r>
        <w:rPr>
          <w:lang w:val="uk-UA"/>
        </w:rPr>
        <w:t xml:space="preserve">тури балансу, називається </w:t>
      </w:r>
      <w:r w:rsidRPr="008C5B64">
        <w:rPr>
          <w:b/>
          <w:lang w:val="uk-UA"/>
        </w:rPr>
        <w:t>валютним метчингом</w:t>
      </w:r>
      <w:r w:rsidRPr="008C5B64">
        <w:rPr>
          <w:lang w:val="uk-UA"/>
        </w:rPr>
        <w:t xml:space="preserve"> (</w:t>
      </w:r>
      <w:r>
        <w:t>currency</w:t>
      </w:r>
      <w:r w:rsidRPr="008C5B64">
        <w:rPr>
          <w:lang w:val="uk-UA"/>
        </w:rPr>
        <w:t xml:space="preserve"> </w:t>
      </w:r>
      <w:r>
        <w:t>matching</w:t>
      </w:r>
      <w:r w:rsidRPr="008C5B64">
        <w:rPr>
          <w:lang w:val="uk-UA"/>
        </w:rPr>
        <w:t xml:space="preserve">). </w:t>
      </w:r>
      <w:r>
        <w:t xml:space="preserve">Застосовування цієї стратегії дозволяє банку уникнути значної частини </w:t>
      </w:r>
      <w:proofErr w:type="gramStart"/>
      <w:r>
        <w:t>валютного</w:t>
      </w:r>
      <w:proofErr w:type="gramEnd"/>
      <w:r>
        <w:t xml:space="preserve"> ризику. Проте і ця стратегія не виключ</w:t>
      </w:r>
      <w:r w:rsidR="0047611C">
        <w:t>ає його повністю, оскільки зали</w:t>
      </w:r>
      <w:r>
        <w:t>шається ризик, пов’язаний з репа</w:t>
      </w:r>
      <w:r w:rsidR="0047611C">
        <w:t xml:space="preserve">тріацією прибутків </w:t>
      </w:r>
      <w:proofErr w:type="gramStart"/>
      <w:r w:rsidR="0047611C">
        <w:t>в</w:t>
      </w:r>
      <w:proofErr w:type="gramEnd"/>
      <w:r w:rsidR="0047611C">
        <w:t>ід міжнарод</w:t>
      </w:r>
      <w:r>
        <w:t>ної діяльності або виплатою дивідендів в іноземній валюті.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Банки мають можливість зупинити вибі</w:t>
      </w:r>
      <w:proofErr w:type="gramStart"/>
      <w:r>
        <w:t>р</w:t>
      </w:r>
      <w:proofErr w:type="gramEnd"/>
      <w:r>
        <w:t xml:space="preserve"> на альтернативній стратегії — </w:t>
      </w:r>
      <w:r w:rsidRPr="0047611C">
        <w:rPr>
          <w:b/>
        </w:rPr>
        <w:t>максимізації прибутку</w:t>
      </w:r>
      <w:r>
        <w:t>. Суть її зводиться до того, що учасники ринку «грають» на валютних курсах для отримання прибутків спекулятивного характеру, залишаючи валютн</w:t>
      </w:r>
      <w:r>
        <w:t>у по</w:t>
      </w:r>
      <w:r>
        <w:t xml:space="preserve">зицію відкритою та </w:t>
      </w:r>
      <w:proofErr w:type="gramStart"/>
      <w:r>
        <w:t>св</w:t>
      </w:r>
      <w:proofErr w:type="gramEnd"/>
      <w:r>
        <w:t>ідомо наражаючись на підвищений ризик. У такому разі управління валютною позицією здійснюється з огляду на закономірність: довг</w:t>
      </w:r>
      <w:r>
        <w:t>а валютна позиція приносить при</w:t>
      </w:r>
      <w:r>
        <w:t xml:space="preserve">бутки за </w:t>
      </w:r>
      <w:proofErr w:type="gramStart"/>
      <w:r>
        <w:t>п</w:t>
      </w:r>
      <w:proofErr w:type="gramEnd"/>
      <w:r>
        <w:t xml:space="preserve">ідвищення курсу іноземної валюти і завдає збитків за його зниження, а коротка — навпаки. Чим вищий ризик бере на себе учасник, тим більший прибуток він може отримати від «гри» на валютних курсах, але за несприятливих змін </w:t>
      </w:r>
      <w:proofErr w:type="gramStart"/>
      <w:r>
        <w:t>на</w:t>
      </w:r>
      <w:proofErr w:type="gramEnd"/>
      <w:r>
        <w:t xml:space="preserve"> валютному ринку втрати через узятий валютний ризик також будуть значними.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 xml:space="preserve">Якщо банк обрав стратегію максимізації прибутку, то виникає потреба оцінити валютний ризик та можливі наслідки прийнятих управлінських </w:t>
      </w:r>
      <w:proofErr w:type="gramStart"/>
      <w:r>
        <w:t>р</w:t>
      </w:r>
      <w:proofErr w:type="gramEnd"/>
      <w:r>
        <w:t xml:space="preserve">ішень. 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Залежність між величиною приб</w:t>
      </w:r>
      <w:r>
        <w:t>утків (збитків), одержаних у ре</w:t>
      </w:r>
      <w:r>
        <w:t>зультаті утримання банком відкритої валютної позиції, та змінами валют</w:t>
      </w:r>
      <w:r>
        <w:t>них курсі</w:t>
      </w:r>
      <w:proofErr w:type="gramStart"/>
      <w:r>
        <w:t>в</w:t>
      </w:r>
      <w:proofErr w:type="gramEnd"/>
      <w:r>
        <w:t xml:space="preserve"> на ринку, описується аналітичною моделлю:</w:t>
      </w:r>
    </w:p>
    <w:p w:rsidR="0047611C" w:rsidRPr="0047611C" w:rsidRDefault="0047611C" w:rsidP="008C5B64">
      <w:pPr>
        <w:pStyle w:val="a3"/>
        <w:spacing w:line="240" w:lineRule="auto"/>
        <w:ind w:left="0" w:firstLine="709"/>
        <w:rPr>
          <w:rFonts w:eastAsiaTheme="minorEastAsia"/>
          <w:i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V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-s</m:t>
              </m:r>
            </m:e>
          </m:d>
          <m:r>
            <w:rPr>
              <w:rFonts w:ascii="Cambria Math" w:hAnsi="Cambria Math"/>
              <w:lang w:val="en-US"/>
            </w:rPr>
            <m:t>×VP</m:t>
          </m:r>
          <m:r>
            <w:rPr>
              <w:rFonts w:ascii="Cambria Math" w:hAnsi="Cambria Math"/>
              <w:lang w:val="uk-UA"/>
            </w:rPr>
            <m:t>,                                                      (7.12)</m:t>
          </m:r>
        </m:oMath>
      </m:oMathPara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 w:rsidRPr="0047611C">
        <w:rPr>
          <w:lang w:val="uk-UA"/>
        </w:rPr>
        <w:t xml:space="preserve">де </w:t>
      </w:r>
      <w:r>
        <w:sym w:font="Symbol" w:char="F044"/>
      </w:r>
      <w:r>
        <w:t>PV</w:t>
      </w:r>
      <w:r w:rsidRPr="0047611C">
        <w:rPr>
          <w:lang w:val="uk-UA"/>
        </w:rPr>
        <w:t xml:space="preserve"> — прибуток (збиток) від переоцінювання валютних коштів у зв’язку зі зміною валютного курсу; 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VP</w:t>
      </w:r>
      <w:r w:rsidRPr="0047611C">
        <w:rPr>
          <w:lang w:val="uk-UA"/>
        </w:rPr>
        <w:t xml:space="preserve"> — валютна позиція банку; 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sp</w:t>
      </w:r>
      <w:r w:rsidRPr="0047611C">
        <w:rPr>
          <w:lang w:val="uk-UA"/>
        </w:rPr>
        <w:t xml:space="preserve">, </w:t>
      </w:r>
      <w:r>
        <w:t>s</w:t>
      </w:r>
      <w:r w:rsidRPr="0047611C">
        <w:rPr>
          <w:lang w:val="uk-UA"/>
        </w:rPr>
        <w:t xml:space="preserve"> — прогнозований та поточний валютний курс відповідно.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Особливість моделі полягає в</w:t>
      </w:r>
      <w:r>
        <w:t xml:space="preserve"> наявності чинника невизначенос</w:t>
      </w:r>
      <w:r>
        <w:t xml:space="preserve">ті, зумовленого прогнозами очікуваних значень </w:t>
      </w:r>
      <w:proofErr w:type="gramStart"/>
      <w:r>
        <w:t>валютного</w:t>
      </w:r>
      <w:proofErr w:type="gramEnd"/>
      <w:r>
        <w:t xml:space="preserve"> курсу (sp).</w:t>
      </w:r>
    </w:p>
    <w:p w:rsidR="0047611C" w:rsidRDefault="0047611C" w:rsidP="008C5B64">
      <w:pPr>
        <w:pStyle w:val="a3"/>
        <w:spacing w:line="240" w:lineRule="auto"/>
        <w:ind w:left="0" w:firstLine="709"/>
        <w:rPr>
          <w:lang w:val="uk-UA"/>
        </w:rPr>
      </w:pPr>
      <w:r>
        <w:t>Прогнозування валютного курс</w:t>
      </w:r>
      <w:r>
        <w:t>у — це складний процес, який по</w:t>
      </w:r>
      <w:r>
        <w:t>требує застосування сучасних технологій, к</w:t>
      </w:r>
      <w:r>
        <w:t xml:space="preserve">ількісних методів аналізу, високого </w:t>
      </w:r>
      <w:proofErr w:type="gramStart"/>
      <w:r>
        <w:t>р</w:t>
      </w:r>
      <w:proofErr w:type="gramEnd"/>
      <w:r>
        <w:t xml:space="preserve">івня підготовки кадрів. </w:t>
      </w:r>
      <w:r>
        <w:t>Отже, рівень валютного ризику банку залежить не тільки від власної позиції банку, яка може бути обчислена досить точно, але й від ринкової кон’юнктури, прогнозування</w:t>
      </w:r>
      <w:r>
        <w:t xml:space="preserve"> якої є серйозною проблемою. За</w:t>
      </w:r>
      <w:r>
        <w:t xml:space="preserve">рубіжний досвід </w:t>
      </w:r>
      <w:proofErr w:type="gramStart"/>
      <w:r>
        <w:t>св</w:t>
      </w:r>
      <w:proofErr w:type="gramEnd"/>
      <w:r>
        <w:t>ідчить, що навіть у відносно благополучних країнах банкіри останнім часом віддають перевагу стратегіям мінімізації ризиків</w:t>
      </w:r>
      <w:r>
        <w:rPr>
          <w:lang w:val="uk-UA"/>
        </w:rPr>
        <w:t>.</w:t>
      </w:r>
    </w:p>
    <w:p w:rsidR="0047611C" w:rsidRDefault="0047611C" w:rsidP="0047611C">
      <w:pPr>
        <w:pStyle w:val="a3"/>
        <w:spacing w:line="240" w:lineRule="auto"/>
        <w:ind w:left="0" w:firstLine="709"/>
        <w:jc w:val="center"/>
        <w:rPr>
          <w:b/>
          <w:lang w:val="uk-UA"/>
        </w:rPr>
      </w:pPr>
      <w:r w:rsidRPr="0047611C">
        <w:rPr>
          <w:b/>
          <w:lang w:val="uk-UA"/>
        </w:rPr>
        <w:t>4.</w:t>
      </w:r>
      <w:r w:rsidRPr="0047611C">
        <w:rPr>
          <w:b/>
        </w:rPr>
        <w:t>Методи управління валютним ризиком банку</w:t>
      </w:r>
    </w:p>
    <w:p w:rsidR="00DC2A48" w:rsidRDefault="00DC2A48" w:rsidP="00DC2A48">
      <w:pPr>
        <w:pStyle w:val="a3"/>
        <w:spacing w:line="240" w:lineRule="auto"/>
        <w:ind w:left="0" w:firstLine="709"/>
        <w:rPr>
          <w:lang w:val="uk-UA"/>
        </w:rPr>
      </w:pPr>
      <w:r w:rsidRPr="00DC2A48">
        <w:rPr>
          <w:lang w:val="uk-UA"/>
        </w:rPr>
        <w:t>В управлінні валютним риз</w:t>
      </w:r>
      <w:r>
        <w:rPr>
          <w:lang w:val="uk-UA"/>
        </w:rPr>
        <w:t>иком та валютною позицією комер</w:t>
      </w:r>
      <w:r w:rsidRPr="00DC2A48">
        <w:rPr>
          <w:lang w:val="uk-UA"/>
        </w:rPr>
        <w:t>ційні банки застосовують дві основні групи методів: управління валютною структурою балансу та хеджування валютного ризику (рис. 7.</w:t>
      </w:r>
      <w:r>
        <w:rPr>
          <w:lang w:val="uk-UA"/>
        </w:rPr>
        <w:t>1</w:t>
      </w:r>
      <w:r w:rsidRPr="00DC2A48">
        <w:rPr>
          <w:lang w:val="uk-UA"/>
        </w:rPr>
        <w:t>).</w:t>
      </w:r>
    </w:p>
    <w:p w:rsidR="00691F9C" w:rsidRDefault="00DC2A48" w:rsidP="00DC2A48">
      <w:pPr>
        <w:pStyle w:val="a3"/>
        <w:spacing w:line="240" w:lineRule="auto"/>
        <w:ind w:left="0"/>
        <w:rPr>
          <w:b/>
          <w:lang w:val="uk-UA"/>
        </w:rPr>
      </w:pPr>
      <w:r>
        <w:rPr>
          <w:b/>
          <w:noProof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6134100" cy="52768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1904999" y="104742"/>
                            <a:ext cx="2362201" cy="51438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B65791">
                                <w:rPr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  <w:t>Методи управління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152524" y="866775"/>
                            <a:ext cx="1666875" cy="762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  <w:lang w:val="uk-UA"/>
                                </w:rPr>
                                <w:t>Управління валютною структурою балансу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219450" y="866890"/>
                            <a:ext cx="1743075" cy="7618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  <w:lang w:val="uk-UA"/>
                                </w:rPr>
                                <w:t>Хеджування валютного ризику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666750" y="1943100"/>
                            <a:ext cx="2124075" cy="5524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Структурне балансування за обсягами та строками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666750" y="2638425"/>
                            <a:ext cx="2124075" cy="571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Конверсійні операції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666750" y="3333750"/>
                            <a:ext cx="2124075" cy="5905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Випередження та відставання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666750" y="4086225"/>
                            <a:ext cx="2124075" cy="533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Дисконтування платіжних вимог (форфейтинг)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219450" y="1971675"/>
                            <a:ext cx="1990725" cy="5238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Форвардні контракти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219450" y="2638425"/>
                            <a:ext cx="1990725" cy="4857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Валютні ф’ючерси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3219450" y="3333750"/>
                            <a:ext cx="2038350" cy="4762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Валютні опціони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219450" y="4000500"/>
                            <a:ext cx="2085975" cy="4762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Своп-контракти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3219450" y="4619625"/>
                            <a:ext cx="2085975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A48" w:rsidRPr="00B65791" w:rsidRDefault="00DC2A48" w:rsidP="00DC2A48">
                              <w:pPr>
                                <w:spacing w:line="240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B65791">
                                <w:rPr>
                                  <w:sz w:val="26"/>
                                  <w:szCs w:val="26"/>
                                </w:rPr>
                                <w:t>Валютні операції своп, подвійний форвард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/>
                        <wps:spPr>
                          <a:xfrm flipH="1">
                            <a:off x="1838325" y="619125"/>
                            <a:ext cx="1266825" cy="2476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>
                          <a:stCxn id="2" idx="2"/>
                          <a:endCxn id="4" idx="0"/>
                        </wps:cNvCnPr>
                        <wps:spPr>
                          <a:xfrm>
                            <a:off x="3086100" y="619125"/>
                            <a:ext cx="1004888" cy="247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419100" y="1200150"/>
                            <a:ext cx="73342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419100" y="1200150"/>
                            <a:ext cx="0" cy="3133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>
                          <a:endCxn id="5" idx="1"/>
                        </wps:cNvCnPr>
                        <wps:spPr>
                          <a:xfrm>
                            <a:off x="419100" y="2219325"/>
                            <a:ext cx="247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 flipV="1">
                            <a:off x="419100" y="2857500"/>
                            <a:ext cx="2476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V="1">
                            <a:off x="419100" y="3600450"/>
                            <a:ext cx="2476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419100" y="4333875"/>
                            <a:ext cx="247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>
                          <a:stCxn id="4" idx="3"/>
                        </wps:cNvCnPr>
                        <wps:spPr>
                          <a:xfrm>
                            <a:off x="4962525" y="1247833"/>
                            <a:ext cx="647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5610225" y="1247833"/>
                            <a:ext cx="0" cy="35813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H="1">
                            <a:off x="5305425" y="4829175"/>
                            <a:ext cx="3048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5210175" y="2276475"/>
                            <a:ext cx="400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>
                          <a:stCxn id="10" idx="3"/>
                        </wps:cNvCnPr>
                        <wps:spPr>
                          <a:xfrm>
                            <a:off x="5210175" y="2881313"/>
                            <a:ext cx="400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5305425" y="3552825"/>
                            <a:ext cx="304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5305425" y="4238625"/>
                            <a:ext cx="304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83pt;height:415.5pt;mso-position-horizontal-relative:char;mso-position-vertical-relative:line" coordsize="61341,5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341;height:52768;visibility:visible;mso-wrap-style:square">
                  <v:fill o:detectmouseclick="t"/>
                  <v:path o:connecttype="none"/>
                </v:shape>
                <v:rect id="Прямоугольник 2" o:spid="_x0000_s1028" style="position:absolute;left:19049;top:1047;width:23623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t8cIA&#10;AADaAAAADwAAAGRycy9kb3ducmV2LnhtbESPX2vCQBDE34V+h2MLfZF6p6DYNBcpitCXQv1D6eOS&#10;2yahub2QWzV++55Q8HGYmd8w+WrwrTpTH5vAFqYTA4q4DK7hysLxsH1egoqC7LANTBauFGFVPIxy&#10;zFy48I7Oe6lUgnDM0EIt0mVax7Imj3ESOuLk/YTeoyTZV9r1eElw3+qZMQvtseG0UGNH65rK3/3J&#10;W3CRNI3JfMr313wj1/XHzpkXa58eh7dXUEKD3MP/7XdnYQa3K+kG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i3x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b/>
                            <w:sz w:val="26"/>
                            <w:szCs w:val="26"/>
                            <w:lang w:val="uk-UA"/>
                          </w:rPr>
                        </w:pPr>
                        <w:r w:rsidRPr="00B65791">
                          <w:rPr>
                            <w:b/>
                            <w:sz w:val="26"/>
                            <w:szCs w:val="26"/>
                            <w:lang w:val="uk-UA"/>
                          </w:rPr>
                          <w:t>Методи управління</w:t>
                        </w:r>
                      </w:p>
                    </w:txbxContent>
                  </v:textbox>
                </v:rect>
                <v:rect id="Прямоугольник 3" o:spid="_x0000_s1029" style="position:absolute;left:11525;top:8667;width:16668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IasIA&#10;AADaAAAADwAAAGRycy9kb3ducmV2LnhtbESPQWvCQBSE70L/w/IEL1J3VVr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ohq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  <w:lang w:val="uk-UA"/>
                          </w:rPr>
                        </w:pPr>
                        <w:r w:rsidRPr="00B65791">
                          <w:rPr>
                            <w:sz w:val="26"/>
                            <w:szCs w:val="26"/>
                            <w:lang w:val="uk-UA"/>
                          </w:rPr>
                          <w:t>Управління валютною структурою балансу</w:t>
                        </w:r>
                      </w:p>
                    </w:txbxContent>
                  </v:textbox>
                </v:rect>
                <v:rect id="Прямоугольник 4" o:spid="_x0000_s1030" style="position:absolute;left:32194;top:8668;width:17431;height:7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QHsIA&#10;AADaAAAADwAAAGRycy9kb3ducmV2LnhtbESPQWvCQBSE70L/w/IEL1J3FVv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xAe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  <w:lang w:val="uk-UA"/>
                          </w:rPr>
                        </w:pPr>
                        <w:r w:rsidRPr="00B65791">
                          <w:rPr>
                            <w:sz w:val="26"/>
                            <w:szCs w:val="26"/>
                            <w:lang w:val="uk-UA"/>
                          </w:rPr>
                          <w:t>Хеджування валютного ризику</w:t>
                        </w:r>
                      </w:p>
                    </w:txbxContent>
                  </v:textbox>
                </v:rect>
                <v:rect id="Прямоугольник 5" o:spid="_x0000_s1031" style="position:absolute;left:6667;top:19431;width:2124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1hcIA&#10;AADaAAAADwAAAGRycy9kb3ducmV2LnhtbESPzWoCQRCE7wHfYWjBS4gzEZRkdRQxBLwI/oSQY7PT&#10;7i7u9Cw7HV3f3hEEj0VVfUXNFp2v1ZnaWAW28D40oIjz4CouLPwcvt8+QEVBdlgHJgtXirCY915m&#10;mLlw4R2d91KoBOGYoYVSpMm0jnlJHuMwNMTJO4bWoyTZFtq1eElwX+uRMRPtseK0UGJDq5Ly0/7f&#10;W3CRNL2S2crf7/hLrqvNzplPawf9bjkFJdTJM/xor52FMdyvpBu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7WF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Структурне балансування за обсягами та строками</w:t>
                        </w:r>
                      </w:p>
                    </w:txbxContent>
                  </v:textbox>
                </v:rect>
                <v:rect id="Прямоугольник 6" o:spid="_x0000_s1032" style="position:absolute;left:6667;top:26384;width:21241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8sIA&#10;AADaAAAADwAAAGRycy9kb3ducmV2LnhtbESPQWvCQBSE7wX/w/KEXorutlCpMRsRS8FLoWoRj4/s&#10;Mwlm34bsq8Z/7xYKPQ4z8w2TLwffqgv1sQls4XlqQBGXwTVcWfjef0zeQEVBdtgGJgs3irAsRg85&#10;Zi5ceUuXnVQqQThmaKEW6TKtY1mTxzgNHXHyTqH3KEn2lXY9XhPct/rFmJn22HBaqLGjdU3leffj&#10;LbhImp7IfMnx8Pout/Xn1pm5tY/jYbUAJTTIf/ivvXEWZvB7Jd0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Svy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Конверсійні операції</w:t>
                        </w:r>
                      </w:p>
                    </w:txbxContent>
                  </v:textbox>
                </v:rect>
                <v:rect id="Прямоугольник 7" o:spid="_x0000_s1033" style="position:absolute;left:6667;top:33337;width:21241;height: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acIA&#10;AADaAAAADwAAAGRycy9kb3ducmV2LnhtbESPX2vCQBDE34V+h2MFX6TeKdg/qacURfClUNNS+rjk&#10;tkkwtxdyq8Zv3xMEH4eZ+Q2zWPW+USfqYh3YwnRiQBEXwdVcWvj+2j6+gIqC7LAJTBYuFGG1fBgs&#10;MHPhzHs65VKqBOGYoYVKpM20jkVFHuMktMTJ+wudR0myK7Xr8JzgvtEzY560x5rTQoUtrSsqDvnR&#10;W3CRNI3JfMrvz3wjl/XH3plXa0fD/v0NlFAv9/CtvXMWnuF6Jd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5pwgAAANoAAAAPAAAAAAAAAAAAAAAAAJgCAABkcnMvZG93&#10;bnJldi54bWxQSwUGAAAAAAQABAD1AAAAhwMAAAAA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Випередження та відставання</w:t>
                        </w:r>
                      </w:p>
                    </w:txbxContent>
                  </v:textbox>
                </v:rect>
                <v:rect id="Прямоугольник 8" o:spid="_x0000_s1034" style="position:absolute;left:6667;top:40862;width:21241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G74A&#10;AADaAAAADwAAAGRycy9kb3ducmV2LnhtbERPS2sCMRC+F/wPYYReiiYWWnQ1iigFLwVfiMdhM+4u&#10;bibLZqrrvzcHoceP7z1bdL5WN2pjFdjCaGhAEefBVVxYOB5+BmNQUZAd1oHJwoMiLOa9txlmLtx5&#10;R7e9FCqFcMzQQinSZFrHvCSPcRga4sRdQutREmwL7Vq8p3Bf609jvrXHilNDiQ2tSsqv+z9vwUXS&#10;9EFmK+fT11oeq9+dMxNr3/vdcgpKqJN/8cu9cRbS1nQl3QA9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aGhu+AAAA2gAAAA8AAAAAAAAAAAAAAAAAmAIAAGRycy9kb3ducmV2&#10;LnhtbFBLBQYAAAAABAAEAPUAAACDAwAAAAA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Дисконтування платіжних вимог (форфейтинг)</w:t>
                        </w:r>
                      </w:p>
                    </w:txbxContent>
                  </v:textbox>
                </v:rect>
                <v:rect id="Прямоугольник 9" o:spid="_x0000_s1035" style="position:absolute;left:32194;top:19716;width:19907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/gMEA&#10;AADaAAAADwAAAGRycy9kb3ducmV2LnhtbESPQWsCMRSE74L/ITyhF9HEQqWuRhFLoRehahGPj81z&#10;d3Hzsmxedf33plDwOMzMN8xi1flaXamNVWALk7EBRZwHV3Fh4efwOXoHFQXZYR2YLNwpwmrZ7y0w&#10;c+HGO7rupVAJwjFDC6VIk2kd85I8xnFoiJN3Dq1HSbIttGvxluC+1q/GTLXHitNCiQ1tSsov+19v&#10;wUXSNCTzLafj24fcN9udMzNrXwbdeg5KqJNn+L/95SzM4O9Kug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Wv4DBAAAA2gAAAA8AAAAAAAAAAAAAAAAAmAIAAGRycy9kb3du&#10;cmV2LnhtbFBLBQYAAAAABAAEAPUAAACGAwAAAAA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Форвардні контракти</w:t>
                        </w:r>
                      </w:p>
                    </w:txbxContent>
                  </v:textbox>
                </v:rect>
                <v:rect id="Прямоугольник 10" o:spid="_x0000_s1036" style="position:absolute;left:32194;top:26384;width:19907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768MA&#10;AADbAAAADwAAAGRycy9kb3ducmV2LnhtbESPQWsCQQyF74X+hyGFXorOWGipq6MUpeClULWIx7AT&#10;d5fuZJadVNd/bw6F3hLey3tf5sshtuZMfW4Se5iMHRjiMoWGKw/f+4/RG5gsyAHbxOThShmWi/u7&#10;ORYhXXhL551URkM4F+ihFukKa3NZU8Q8Th2xaqfURxRd+8qGHi8aHlv77NyrjdiwNtTY0aqm8mf3&#10;Gz2ETJaeyH3J8fCyluvqcxvc1PvHh+F9BkZokH/z3/UmKL7S6y86gF3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768MAAADbAAAADwAAAAAAAAAAAAAAAACYAgAAZHJzL2Rv&#10;d25yZXYueG1sUEsFBgAAAAAEAAQA9QAAAIgDAAAAAA=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Валютні ф’ючерси</w:t>
                        </w:r>
                      </w:p>
                    </w:txbxContent>
                  </v:textbox>
                </v:rect>
                <v:rect id="Прямоугольник 11" o:spid="_x0000_s1037" style="position:absolute;left:32194;top:33337;width:20384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ecMAA&#10;AADbAAAADwAAAGRycy9kb3ducmV2LnhtbERPTWvCQBC9C/0PyxS8iO4qVGqajRSL4KVQtYjHITtN&#10;QrOzITvV+O+7hYK3ebzPydeDb9WF+tgEtjCfGVDEZXANVxY+j9vpM6goyA7bwGThRhHWxcMox8yF&#10;K+/pcpBKpRCOGVqoRbpM61jW5DHOQkecuK/Qe5QE+0q7Hq8p3Ld6YcxSe2w4NdTY0aam8vvw4y24&#10;SJomZD7kfHp6k9vmfe/Mytrx4/D6AkpokLv4371zaf4c/n5J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UecMAAAADbAAAADwAAAAAAAAAAAAAAAACYAgAAZHJzL2Rvd25y&#10;ZXYueG1sUEsFBgAAAAAEAAQA9QAAAIUDAAAAAA=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Валютні опціони</w:t>
                        </w:r>
                      </w:p>
                    </w:txbxContent>
                  </v:textbox>
                </v:rect>
                <v:rect id="Прямоугольник 12" o:spid="_x0000_s1038" style="position:absolute;left:32194;top:40005;width:20860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AB8EA&#10;AADbAAAADwAAAGRycy9kb3ducmV2LnhtbERPS2vCQBC+C/0PyxR6kbqroNg0GymK0EuhPig9Dtlp&#10;EpqdDdlR47/vCgVv8/E9J18NvlVn6mMT2MJ0YkARl8E1XFk4HrbPS1BRkB22gcnClSKsiodRjpkL&#10;F97ReS+VSiEcM7RQi3SZ1rGsyWOchI44cT+h9ygJ9pV2PV5SuG/1zJiF9thwaqixo3VN5e/+5C24&#10;SJrGZD7l+2u+kev6Y+fMi7VPj8PbKyihQe7if/e7S/NncPslHa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3gAfBAAAA2wAAAA8AAAAAAAAAAAAAAAAAmAIAAGRycy9kb3du&#10;cmV2LnhtbFBLBQYAAAAABAAEAPUAAACGAwAAAAA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Своп-контракти</w:t>
                        </w:r>
                      </w:p>
                    </w:txbxContent>
                  </v:textbox>
                </v:rect>
                <v:rect id="Прямоугольник 13" o:spid="_x0000_s1039" style="position:absolute;left:32194;top:46196;width:20860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slnMAA&#10;AADbAAAADwAAAGRycy9kb3ducmV2LnhtbERPS2sCMRC+F/wPYQq9FE3aouhqFLEUehF8IR6Hzbi7&#10;dDNZNlNd/70pFLzNx/ec2aLztbpQG6vAFt4GBhRxHlzFhYXD/qs/BhUF2WEdmCzcKMJi3nuaYebC&#10;lbd02UmhUgjHDC2UIk2mdcxL8hgHoSFO3Dm0HiXBttCuxWsK97V+N2akPVacGkpsaFVS/rP79RZc&#10;JE2vZDZyOg4/5bZab52ZWPvy3C2noIQ6eYj/3d8uzf+Av1/SAXp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slnMAAAADbAAAADwAAAAAAAAAAAAAAAACYAgAAZHJzL2Rvd25y&#10;ZXYueG1sUEsFBgAAAAAEAAQA9QAAAIUDAAAAAA==&#10;" fillcolor="white [3201]" strokecolor="black [3213]" strokeweight=".25pt">
                  <v:textbox>
                    <w:txbxContent>
                      <w:p w:rsidR="00DC2A48" w:rsidRPr="00B65791" w:rsidRDefault="00DC2A48" w:rsidP="00DC2A48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65791">
                          <w:rPr>
                            <w:sz w:val="26"/>
                            <w:szCs w:val="26"/>
                          </w:rPr>
                          <w:t>Валютні операції своп, подвійний форвард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40" type="#_x0000_t32" style="position:absolute;left:18383;top:6191;width:12668;height:24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<v:stroke endarrow="open"/>
                </v:shape>
                <v:shape id="Прямая со стрелкой 15" o:spid="_x0000_s1041" type="#_x0000_t32" style="position:absolute;left:30861;top:6191;width:10048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<v:stroke endarrow="open"/>
                </v:shape>
                <v:line id="Прямая соединительная линия 16" o:spid="_x0000_s1042" style="position:absolute;flip:x;visibility:visible;mso-wrap-style:square" from="4191,12001" to="11525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8aQMEAAADbAAAADwAAAGRycy9kb3ducmV2LnhtbERPS4vCMBC+C/6HMMLeNNWDStdYpCDI&#10;LoqP3cPehmb6wGZSmmi7/94Igrf5+J6zSnpTizu1rrKsYDqJQBBnVldcKPi5bMdLEM4ja6wtk4J/&#10;cpCsh4MVxtp2fKL72RcihLCLUUHpfRNL6bKSDLqJbYgDl9vWoA+wLaRusQvhppazKJpLgxWHhhIb&#10;SkvKruebUZC7W5P+/WqfL772p33+XRywOyr1Meo3nyA89f4tfrl3Osyfw/OXcIB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nxpAwQAAANsAAAAPAAAAAAAAAAAAAAAA&#10;AKECAABkcnMvZG93bnJldi54bWxQSwUGAAAAAAQABAD5AAAAjwMAAAAA&#10;" strokecolor="black [3040]"/>
                <v:line id="Прямая соединительная линия 17" o:spid="_x0000_s1043" style="position:absolute;visibility:visible;mso-wrap-style:square" from="4191,12001" to="4191,4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Прямая соединительная линия 18" o:spid="_x0000_s1044" style="position:absolute;visibility:visible;mso-wrap-style:square" from="4191,22193" to="6667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<v:line id="Прямая соединительная линия 19" o:spid="_x0000_s1045" style="position:absolute;flip:y;visibility:visible;mso-wrap-style:square" from="4191,28575" to="6667,2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COMsAAAADbAAAADwAAAGRycy9kb3ducmV2LnhtbERPS4vCMBC+L/gfwgje1lQPrlajiCCI&#10;ovg8eBua6QObSWmi7f57s7DgbT6+58wWrSnFi2pXWFYw6EcgiBOrC84UXC/r7zEI55E1lpZJwS85&#10;WMw7XzOMtW34RK+zz0QIYRejgtz7KpbSJTkZdH1bEQcutbVBH2CdSV1jE8JNKYdRNJIGCw4NOVa0&#10;yil5nJ9GQeqe1ep+0z792e5P+3SXHbA5KtXrtsspCE+t/4j/3Rsd5k/g75dw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jjLAAAAA2wAAAA8AAAAAAAAAAAAAAAAA&#10;oQIAAGRycy9kb3ducmV2LnhtbFBLBQYAAAAABAAEAPkAAACOAwAAAAA=&#10;" strokecolor="black [3040]"/>
                <v:line id="Прямая соединительная линия 20" o:spid="_x0000_s1046" style="position:absolute;flip:y;visibility:visible;mso-wrap-style:square" from="4191,36004" to="6667,3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btEs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sD1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Vu0SwQAAANsAAAAPAAAAAAAAAAAAAAAA&#10;AKECAABkcnMvZG93bnJldi54bWxQSwUGAAAAAAQABAD5AAAAjwMAAAAA&#10;" strokecolor="black [3040]"/>
                <v:line id="Прямая соединительная линия 21" o:spid="_x0000_s1047" style="position:absolute;visibility:visible;mso-wrap-style:square" from="4191,43338" to="6667,4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Прямая соединительная линия 22" o:spid="_x0000_s1048" style="position:absolute;visibility:visible;mso-wrap-style:square" from="49625,12478" to="56102,1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  <v:line id="Прямая соединительная линия 23" o:spid="_x0000_s1049" style="position:absolute;visibility:visible;mso-wrap-style:square" from="56102,12478" to="56102,4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Прямая соединительная линия 24" o:spid="_x0000_s1050" style="position:absolute;flip:x;visibility:visible;mso-wrap-style:square" from="53054,48291" to="56102,4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<v:line id="Прямая соединительная линия 25" o:spid="_x0000_s1051" style="position:absolute;visibility:visible;mso-wrap-style:square" from="52101,22764" to="56102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  <v:line id="Прямая соединительная линия 26" o:spid="_x0000_s1052" style="position:absolute;visibility:visible;mso-wrap-style:square" from="52101,28813" to="56102,28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<v:line id="Прямая соединительная линия 27" o:spid="_x0000_s1053" style="position:absolute;visibility:visible;mso-wrap-style:square" from="53054,35528" to="56102,3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<v:line id="Прямая соединительная линия 28" o:spid="_x0000_s1054" style="position:absolute;visibility:visible;mso-wrap-style:square" from="53054,42386" to="56102,4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<w10:anchorlock/>
              </v:group>
            </w:pict>
          </mc:Fallback>
        </mc:AlternateContent>
      </w:r>
    </w:p>
    <w:p w:rsidR="00DC2A48" w:rsidRDefault="00691F9C" w:rsidP="00691F9C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  <w:t xml:space="preserve">Рис. 7.1. </w:t>
      </w:r>
      <w:r>
        <w:t xml:space="preserve">Класифікація методів управління </w:t>
      </w:r>
      <w:proofErr w:type="gramStart"/>
      <w:r>
        <w:t>валютною</w:t>
      </w:r>
      <w:proofErr w:type="gramEnd"/>
      <w:r>
        <w:t xml:space="preserve"> позицією комерційного банку</w:t>
      </w:r>
    </w:p>
    <w:p w:rsidR="00691F9C" w:rsidRDefault="00691F9C" w:rsidP="00691F9C">
      <w:pPr>
        <w:tabs>
          <w:tab w:val="left" w:pos="709"/>
        </w:tabs>
        <w:spacing w:line="240" w:lineRule="auto"/>
        <w:rPr>
          <w:lang w:val="uk-UA"/>
        </w:rPr>
      </w:pP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Змі</w:t>
      </w:r>
      <w:proofErr w:type="gramStart"/>
      <w:r>
        <w:t>ст</w:t>
      </w:r>
      <w:proofErr w:type="gramEnd"/>
      <w:r>
        <w:t xml:space="preserve"> </w:t>
      </w:r>
      <w:r w:rsidRPr="00314AD7">
        <w:rPr>
          <w:b/>
        </w:rPr>
        <w:t>першої групи методів</w:t>
      </w:r>
      <w:r>
        <w:t xml:space="preserve"> зводиться до впливу на валютну структуру балансу для обмеж</w:t>
      </w:r>
      <w:r>
        <w:t>ення наслідків переоцінки валют</w:t>
      </w:r>
      <w:r>
        <w:t>них інструментів. До цих методів належать: структурне бала</w:t>
      </w:r>
      <w:r>
        <w:t>нсу</w:t>
      </w:r>
      <w:r>
        <w:t>вання валютних потоків за сум</w:t>
      </w:r>
      <w:r>
        <w:t>ами та строками; проведення кон</w:t>
      </w:r>
      <w:r>
        <w:t>версійних операцій; зміна стр</w:t>
      </w:r>
      <w:r>
        <w:t>оків валютних платежів (виперед</w:t>
      </w:r>
      <w:r>
        <w:t>ження та відставання); диск</w:t>
      </w:r>
      <w:r>
        <w:t>онтування платіжних вимог в іно</w:t>
      </w:r>
      <w:r>
        <w:t>земній валюті.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91F9C">
        <w:rPr>
          <w:u w:val="single"/>
        </w:rPr>
        <w:t>Структурне балансування валютних потоків</w:t>
      </w:r>
      <w:r>
        <w:t xml:space="preserve"> полягає в узго</w:t>
      </w:r>
      <w:r>
        <w:t>д</w:t>
      </w:r>
      <w:r>
        <w:t>женні обсягі</w:t>
      </w:r>
      <w:proofErr w:type="gramStart"/>
      <w:r>
        <w:t>в</w:t>
      </w:r>
      <w:proofErr w:type="gramEnd"/>
      <w:r>
        <w:t xml:space="preserve"> </w:t>
      </w:r>
      <w:proofErr w:type="gramStart"/>
      <w:r>
        <w:t>та</w:t>
      </w:r>
      <w:proofErr w:type="gramEnd"/>
      <w:r>
        <w:t xml:space="preserve"> строків активних і пасивних операцій з усіма іноземними валютами, якими оперує банк.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Одним із прийомів, що широко використовується банками у процесі управління валютними позиціями, є </w:t>
      </w:r>
      <w:r>
        <w:rPr>
          <w:u w:val="single"/>
        </w:rPr>
        <w:t>проведення кон</w:t>
      </w:r>
      <w:r w:rsidRPr="00691F9C">
        <w:rPr>
          <w:u w:val="single"/>
        </w:rPr>
        <w:t>версійних операцій</w:t>
      </w:r>
      <w:r>
        <w:t>. Наднормативна пози</w:t>
      </w:r>
      <w:r>
        <w:t xml:space="preserve">ція </w:t>
      </w:r>
      <w:proofErr w:type="gramStart"/>
      <w:r>
        <w:t>за певною</w:t>
      </w:r>
      <w:proofErr w:type="gramEnd"/>
      <w:r>
        <w:t xml:space="preserve"> валю</w:t>
      </w:r>
      <w:r>
        <w:t>тою може бути зменшена її обміном на іншу валюту, за якою величина позиції була нижч</w:t>
      </w:r>
      <w:r>
        <w:t>ою за норматив. Це дозволяє при</w:t>
      </w:r>
      <w:r>
        <w:t xml:space="preserve">водити валютні позиції </w:t>
      </w:r>
      <w:proofErr w:type="gramStart"/>
      <w:r>
        <w:t>у</w:t>
      </w:r>
      <w:proofErr w:type="gramEnd"/>
      <w:r>
        <w:t xml:space="preserve"> від</w:t>
      </w:r>
      <w:r>
        <w:t>повідність з установленими вимо</w:t>
      </w:r>
      <w:r>
        <w:t xml:space="preserve">гами без здійснення операцій з базовою валютою. Як правило, банки вдаються до конвертації валюти, курс якої знижується, </w:t>
      </w:r>
      <w:proofErr w:type="gramStart"/>
      <w:r>
        <w:t>у</w:t>
      </w:r>
      <w:proofErr w:type="gramEnd"/>
      <w:r>
        <w:t xml:space="preserve"> більш надійну та стабільну валюту</w:t>
      </w:r>
      <w:r>
        <w:rPr>
          <w:lang w:val="uk-UA"/>
        </w:rPr>
        <w:t>.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91F9C">
        <w:rPr>
          <w:lang w:val="uk-UA"/>
        </w:rPr>
        <w:lastRenderedPageBreak/>
        <w:t>У процесі управління валю</w:t>
      </w:r>
      <w:r>
        <w:rPr>
          <w:lang w:val="uk-UA"/>
        </w:rPr>
        <w:t>тним ризиком банки можуть скори</w:t>
      </w:r>
      <w:r w:rsidRPr="00691F9C">
        <w:rPr>
          <w:lang w:val="uk-UA"/>
        </w:rPr>
        <w:t xml:space="preserve">статися </w:t>
      </w:r>
      <w:r w:rsidRPr="00691F9C">
        <w:rPr>
          <w:u w:val="single"/>
          <w:lang w:val="uk-UA"/>
        </w:rPr>
        <w:t>методом випередження та відставання</w:t>
      </w:r>
      <w:r w:rsidRPr="00691F9C">
        <w:rPr>
          <w:lang w:val="uk-UA"/>
        </w:rPr>
        <w:t xml:space="preserve"> (</w:t>
      </w:r>
      <w:r>
        <w:t>leads</w:t>
      </w:r>
      <w:r w:rsidRPr="00691F9C">
        <w:rPr>
          <w:lang w:val="uk-UA"/>
        </w:rPr>
        <w:t xml:space="preserve"> </w:t>
      </w:r>
      <w:r>
        <w:t>and</w:t>
      </w:r>
      <w:r w:rsidRPr="00691F9C">
        <w:rPr>
          <w:lang w:val="uk-UA"/>
        </w:rPr>
        <w:t xml:space="preserve"> </w:t>
      </w:r>
      <w:r>
        <w:t>lags</w:t>
      </w:r>
      <w:r w:rsidRPr="00691F9C">
        <w:rPr>
          <w:lang w:val="uk-UA"/>
        </w:rPr>
        <w:t xml:space="preserve"> — від англ. випередження та відставання), який ґрунтується на змінах строків платежів в іноземних валютах залежно від очіку</w:t>
      </w:r>
      <w:r w:rsidRPr="00691F9C">
        <w:rPr>
          <w:lang w:val="uk-UA"/>
        </w:rPr>
        <w:t xml:space="preserve">ваних коливань валютних курсів. 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Маніпулювання строками доз</w:t>
      </w:r>
      <w:r>
        <w:t xml:space="preserve">воляє закрити короткі позиції за певними валютами до зростання їх ринкового курсу і відповідно </w:t>
      </w:r>
      <w:r>
        <w:t>довгі позиції — до зниження кур</w:t>
      </w:r>
      <w:r>
        <w:t xml:space="preserve">су. 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91F9C">
        <w:rPr>
          <w:lang w:val="uk-UA"/>
        </w:rPr>
        <w:t>До найпоширеніших на прак</w:t>
      </w:r>
      <w:r>
        <w:rPr>
          <w:lang w:val="uk-UA"/>
        </w:rPr>
        <w:t>тиці форм зазначеної тактики на</w:t>
      </w:r>
      <w:r w:rsidRPr="00691F9C">
        <w:rPr>
          <w:lang w:val="uk-UA"/>
        </w:rPr>
        <w:t xml:space="preserve">лежать: 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691F9C">
        <w:rPr>
          <w:lang w:val="uk-UA"/>
        </w:rPr>
        <w:t xml:space="preserve"> прискорення репатріації (повернення до своєї країни із-за кордону) капіталу, прибутків, інших грошових коштів в очікуванні ревальвації національної валюти або сповільнення процесів репатріації перед дев</w:t>
      </w:r>
      <w:r>
        <w:rPr>
          <w:lang w:val="uk-UA"/>
        </w:rPr>
        <w:t>альвацією національної валюти;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691F9C">
        <w:rPr>
          <w:lang w:val="uk-UA"/>
        </w:rPr>
        <w:t xml:space="preserve"> прискорення чи сповільнення пога</w:t>
      </w:r>
      <w:r>
        <w:rPr>
          <w:lang w:val="uk-UA"/>
        </w:rPr>
        <w:t>шення основної суми боргу в іно</w:t>
      </w:r>
      <w:r w:rsidRPr="00691F9C">
        <w:rPr>
          <w:lang w:val="uk-UA"/>
        </w:rPr>
        <w:t>земній валюті та виплати відсотків залежно від зміни валютного курсу;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691F9C">
        <w:rPr>
          <w:lang w:val="uk-UA"/>
        </w:rPr>
        <w:t xml:space="preserve"> </w:t>
      </w:r>
      <w:r>
        <w:sym w:font="Symbol" w:char="F0B7"/>
      </w:r>
      <w:r w:rsidRPr="00691F9C">
        <w:rPr>
          <w:lang w:val="uk-UA"/>
        </w:rPr>
        <w:t xml:space="preserve"> дострокова оплата послуг</w:t>
      </w:r>
      <w:r>
        <w:rPr>
          <w:lang w:val="uk-UA"/>
        </w:rPr>
        <w:t xml:space="preserve"> і товарів (основних фондів, то</w:t>
      </w:r>
      <w:r w:rsidRPr="00691F9C">
        <w:rPr>
          <w:lang w:val="uk-UA"/>
        </w:rPr>
        <w:t xml:space="preserve">варно-матеріальних цінностей) у разі підвищення курсу валюти платежу або затримка платежів в очікуванні зниження курсу; 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691F9C">
        <w:rPr>
          <w:lang w:val="uk-UA"/>
        </w:rPr>
        <w:t xml:space="preserve"> прискорення чи сповільненн</w:t>
      </w:r>
      <w:r>
        <w:rPr>
          <w:lang w:val="uk-UA"/>
        </w:rPr>
        <w:t>я нарахування і виплати дивіден</w:t>
      </w:r>
      <w:r w:rsidRPr="00691F9C">
        <w:rPr>
          <w:lang w:val="uk-UA"/>
        </w:rPr>
        <w:t xml:space="preserve">дів, надходження коштів в іноземній валюті до статутного фонду банку; </w:t>
      </w:r>
    </w:p>
    <w:p w:rsidR="00691F9C" w:rsidRDefault="00691F9C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691F9C">
        <w:rPr>
          <w:lang w:val="uk-UA"/>
        </w:rPr>
        <w:t xml:space="preserve"> регулювання одержувачем інвалютних коштів строків їх конверсії в національну валюту</w:t>
      </w:r>
      <w:r>
        <w:rPr>
          <w:lang w:val="uk-UA"/>
        </w:rPr>
        <w:t>.</w:t>
      </w:r>
    </w:p>
    <w:p w:rsidR="00314AD7" w:rsidRDefault="00314AD7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314AD7">
        <w:rPr>
          <w:lang w:val="uk-UA"/>
        </w:rPr>
        <w:t xml:space="preserve">Прийом </w:t>
      </w:r>
      <w:r w:rsidRPr="00314AD7">
        <w:rPr>
          <w:u w:val="single"/>
          <w:lang w:val="uk-UA"/>
        </w:rPr>
        <w:t xml:space="preserve">дисконтування платіжних вимог в іноземній валюті </w:t>
      </w:r>
      <w:r w:rsidRPr="00314AD7">
        <w:rPr>
          <w:lang w:val="uk-UA"/>
        </w:rPr>
        <w:t>є різновидом обліку векселів і полягає в переуступці банку права вимоги заборгованості в іноземн</w:t>
      </w:r>
      <w:r>
        <w:rPr>
          <w:lang w:val="uk-UA"/>
        </w:rPr>
        <w:t>ій валюті в обмін на негайну ви</w:t>
      </w:r>
      <w:r w:rsidRPr="00314AD7">
        <w:rPr>
          <w:lang w:val="uk-UA"/>
        </w:rPr>
        <w:t xml:space="preserve">плату банком власнику векселя </w:t>
      </w:r>
      <w:r>
        <w:rPr>
          <w:lang w:val="uk-UA"/>
        </w:rPr>
        <w:t>відповідної суми коштів у націо</w:t>
      </w:r>
      <w:r w:rsidRPr="00314AD7">
        <w:rPr>
          <w:lang w:val="uk-UA"/>
        </w:rPr>
        <w:t>нальній або іншій іноземній валюті. Дисконтування здійснюється здебільшого через проведення форфейтингових операцій.</w:t>
      </w:r>
    </w:p>
    <w:p w:rsidR="00314AD7" w:rsidRDefault="00314AD7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314AD7">
        <w:rPr>
          <w:b/>
          <w:lang w:val="uk-UA"/>
        </w:rPr>
        <w:t>Друга група методів</w:t>
      </w:r>
      <w:r w:rsidRPr="00314AD7">
        <w:rPr>
          <w:lang w:val="uk-UA"/>
        </w:rPr>
        <w:t>, пов’я</w:t>
      </w:r>
      <w:r>
        <w:rPr>
          <w:lang w:val="uk-UA"/>
        </w:rPr>
        <w:t>зана з хеджуванням валютного ри</w:t>
      </w:r>
      <w:r w:rsidRPr="00314AD7">
        <w:rPr>
          <w:lang w:val="uk-UA"/>
        </w:rPr>
        <w:t>зику, передбачає створення захисту від валютних ризиків укладанням додаткових строкових угод за іноземною валютою, які дозволяють компенсувати можливі фінансові втр</w:t>
      </w:r>
      <w:r w:rsidR="00B65791">
        <w:rPr>
          <w:lang w:val="uk-UA"/>
        </w:rPr>
        <w:t>ати за балансовими статтями вна</w:t>
      </w:r>
      <w:r w:rsidRPr="00314AD7">
        <w:rPr>
          <w:lang w:val="uk-UA"/>
        </w:rPr>
        <w:t xml:space="preserve">слідок зміни валютного курсу. </w:t>
      </w:r>
      <w:r>
        <w:t>Хеджування здійснюють за допомогою проведення операцій з форвардними</w:t>
      </w:r>
      <w:r w:rsidR="00B65791">
        <w:t xml:space="preserve"> валютними контрактами, валютни</w:t>
      </w:r>
      <w:r>
        <w:t xml:space="preserve">ми ф’ючерсами та опціонами, валютними своп-контрактами, свопціонами, а також </w:t>
      </w:r>
      <w:proofErr w:type="gramStart"/>
      <w:r>
        <w:t>р</w:t>
      </w:r>
      <w:proofErr w:type="gramEnd"/>
      <w:r>
        <w:t>ізних їх комбінацій типу подвійний форвард, валютний своп</w:t>
      </w:r>
      <w:r w:rsidR="00B65791">
        <w:rPr>
          <w:lang w:val="uk-UA"/>
        </w:rPr>
        <w:t>.</w:t>
      </w:r>
    </w:p>
    <w:p w:rsidR="00B65791" w:rsidRPr="00B65791" w:rsidRDefault="00B65791" w:rsidP="00691F9C">
      <w:pPr>
        <w:tabs>
          <w:tab w:val="left" w:pos="709"/>
        </w:tabs>
        <w:spacing w:line="240" w:lineRule="auto"/>
        <w:ind w:firstLine="709"/>
        <w:rPr>
          <w:lang w:val="uk-UA"/>
        </w:rPr>
      </w:pPr>
      <w:bookmarkStart w:id="0" w:name="_GoBack"/>
      <w:bookmarkEnd w:id="0"/>
    </w:p>
    <w:sectPr w:rsidR="00B65791" w:rsidRPr="00B65791" w:rsidSect="0026194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E6A4B"/>
    <w:multiLevelType w:val="hybridMultilevel"/>
    <w:tmpl w:val="98D81F7C"/>
    <w:lvl w:ilvl="0" w:tplc="077A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C4F46"/>
    <w:multiLevelType w:val="hybridMultilevel"/>
    <w:tmpl w:val="92705396"/>
    <w:lvl w:ilvl="0" w:tplc="28406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22646"/>
    <w:multiLevelType w:val="hybridMultilevel"/>
    <w:tmpl w:val="BFD2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17"/>
    <w:rsid w:val="00190ACF"/>
    <w:rsid w:val="001E0FB6"/>
    <w:rsid w:val="001F4686"/>
    <w:rsid w:val="00261949"/>
    <w:rsid w:val="002A74A4"/>
    <w:rsid w:val="003059CF"/>
    <w:rsid w:val="00314AD7"/>
    <w:rsid w:val="004355D1"/>
    <w:rsid w:val="0047611C"/>
    <w:rsid w:val="00512B4A"/>
    <w:rsid w:val="00564584"/>
    <w:rsid w:val="005A1102"/>
    <w:rsid w:val="0065222B"/>
    <w:rsid w:val="00691F9C"/>
    <w:rsid w:val="006F3A27"/>
    <w:rsid w:val="007943C4"/>
    <w:rsid w:val="008C5B64"/>
    <w:rsid w:val="009C3217"/>
    <w:rsid w:val="00A417A9"/>
    <w:rsid w:val="00AE64E6"/>
    <w:rsid w:val="00AF7E49"/>
    <w:rsid w:val="00B6249D"/>
    <w:rsid w:val="00B65791"/>
    <w:rsid w:val="00BD5B51"/>
    <w:rsid w:val="00C60B6D"/>
    <w:rsid w:val="00D872E1"/>
    <w:rsid w:val="00DC2A48"/>
    <w:rsid w:val="00EE2F4B"/>
    <w:rsid w:val="00F02F40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60B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0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60B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0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20</cp:revision>
  <dcterms:created xsi:type="dcterms:W3CDTF">2022-09-01T09:16:00Z</dcterms:created>
  <dcterms:modified xsi:type="dcterms:W3CDTF">2022-09-02T07:39:00Z</dcterms:modified>
</cp:coreProperties>
</file>