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6C" w:rsidRPr="005C33A3" w:rsidRDefault="008B391B" w:rsidP="006723BF">
      <w:pPr>
        <w:pStyle w:val="1"/>
        <w:jc w:val="center"/>
        <w:rPr>
          <w:color w:val="auto"/>
          <w:lang w:val="uk-UA"/>
        </w:rPr>
      </w:pPr>
      <w:r w:rsidRPr="005C33A3">
        <w:rPr>
          <w:color w:val="auto"/>
          <w:lang w:val="uk-UA"/>
        </w:rPr>
        <w:t>Лекція 1. Теоретичні аспекти створення й організації діяльності індустріальних парків</w:t>
      </w:r>
    </w:p>
    <w:p w:rsidR="00DF3E6C" w:rsidRPr="00DB5E76" w:rsidRDefault="00DF3E6C" w:rsidP="00DF3E6C">
      <w:pPr>
        <w:rPr>
          <w:rFonts w:ascii="Times New Roman" w:hAnsi="Times New Roman" w:cs="Times New Roman"/>
          <w:sz w:val="28"/>
          <w:szCs w:val="28"/>
          <w:lang w:val="uk-UA"/>
        </w:rPr>
      </w:pPr>
    </w:p>
    <w:p w:rsidR="00DF3E6C" w:rsidRPr="00DB5E76" w:rsidRDefault="00DF3E6C" w:rsidP="00DF3E6C">
      <w:pPr>
        <w:pStyle w:val="13"/>
        <w:rPr>
          <w:rFonts w:ascii="Times New Roman" w:eastAsiaTheme="minorEastAsia" w:hAnsi="Times New Roman" w:cs="Times New Roman"/>
          <w:noProof/>
          <w:sz w:val="28"/>
          <w:szCs w:val="28"/>
          <w:lang w:eastAsia="ru-RU"/>
        </w:rPr>
      </w:pPr>
      <w:r w:rsidRPr="00DB5E76">
        <w:rPr>
          <w:rFonts w:ascii="Times New Roman" w:hAnsi="Times New Roman" w:cs="Times New Roman"/>
          <w:b/>
          <w:sz w:val="28"/>
          <w:szCs w:val="28"/>
        </w:rPr>
        <w:fldChar w:fldCharType="begin"/>
      </w:r>
      <w:r w:rsidRPr="00DB5E76">
        <w:rPr>
          <w:rFonts w:ascii="Times New Roman" w:hAnsi="Times New Roman" w:cs="Times New Roman"/>
          <w:b/>
          <w:sz w:val="28"/>
          <w:szCs w:val="28"/>
        </w:rPr>
        <w:instrText xml:space="preserve"> TOC \n \h \z \t "Стиль1;1" </w:instrText>
      </w:r>
      <w:r w:rsidRPr="00DB5E76">
        <w:rPr>
          <w:rFonts w:ascii="Times New Roman" w:hAnsi="Times New Roman" w:cs="Times New Roman"/>
          <w:b/>
          <w:sz w:val="28"/>
          <w:szCs w:val="28"/>
        </w:rPr>
        <w:fldChar w:fldCharType="separate"/>
      </w:r>
      <w:hyperlink w:anchor="_Toc112939802" w:history="1">
        <w:r w:rsidRPr="00DB5E76">
          <w:rPr>
            <w:rStyle w:val="a4"/>
            <w:rFonts w:ascii="Times New Roman" w:hAnsi="Times New Roman" w:cs="Times New Roman"/>
            <w:noProof/>
            <w:color w:val="auto"/>
            <w:sz w:val="28"/>
            <w:szCs w:val="28"/>
          </w:rPr>
          <w:t>1. Сутність індустріальних парків</w:t>
        </w:r>
      </w:hyperlink>
    </w:p>
    <w:p w:rsidR="00DF3E6C" w:rsidRPr="00DB5E76" w:rsidRDefault="00CD1936" w:rsidP="00DF3E6C">
      <w:pPr>
        <w:pStyle w:val="13"/>
        <w:rPr>
          <w:rFonts w:ascii="Times New Roman" w:eastAsiaTheme="minorEastAsia" w:hAnsi="Times New Roman" w:cs="Times New Roman"/>
          <w:noProof/>
          <w:sz w:val="28"/>
          <w:szCs w:val="28"/>
          <w:lang w:eastAsia="ru-RU"/>
        </w:rPr>
      </w:pPr>
      <w:hyperlink w:anchor="_Toc112939803" w:history="1">
        <w:r w:rsidR="00DF3E6C" w:rsidRPr="00DB5E76">
          <w:rPr>
            <w:rStyle w:val="a4"/>
            <w:rFonts w:ascii="Times New Roman" w:eastAsia="Times New Roman" w:hAnsi="Times New Roman" w:cs="Times New Roman"/>
            <w:noProof/>
            <w:color w:val="auto"/>
            <w:sz w:val="28"/>
            <w:szCs w:val="28"/>
            <w:lang w:eastAsia="ru-RU"/>
          </w:rPr>
          <w:t>2.</w:t>
        </w:r>
        <w:r w:rsidR="00DF3E6C" w:rsidRPr="00DB5E76">
          <w:rPr>
            <w:rStyle w:val="a4"/>
            <w:rFonts w:ascii="Times New Roman" w:hAnsi="Times New Roman" w:cs="Times New Roman"/>
            <w:noProof/>
            <w:color w:val="auto"/>
            <w:sz w:val="28"/>
            <w:szCs w:val="28"/>
          </w:rPr>
          <w:t xml:space="preserve"> Загальна характеристика суб’єктів та об’єктів індустріальних парків</w:t>
        </w:r>
      </w:hyperlink>
    </w:p>
    <w:p w:rsidR="00DF3E6C" w:rsidRPr="00DB5E76" w:rsidRDefault="00CD1936" w:rsidP="00DF3E6C">
      <w:pPr>
        <w:pStyle w:val="13"/>
        <w:rPr>
          <w:rFonts w:ascii="Times New Roman" w:eastAsiaTheme="minorEastAsia" w:hAnsi="Times New Roman" w:cs="Times New Roman"/>
          <w:noProof/>
          <w:sz w:val="28"/>
          <w:szCs w:val="28"/>
          <w:lang w:eastAsia="ru-RU"/>
        </w:rPr>
      </w:pPr>
      <w:hyperlink w:anchor="_Toc112939804" w:history="1">
        <w:r w:rsidR="00DF3E6C" w:rsidRPr="00DB5E76">
          <w:rPr>
            <w:rStyle w:val="a4"/>
            <w:rFonts w:ascii="Times New Roman" w:hAnsi="Times New Roman" w:cs="Times New Roman"/>
            <w:noProof/>
            <w:color w:val="auto"/>
            <w:sz w:val="28"/>
            <w:szCs w:val="28"/>
          </w:rPr>
          <w:t>3. Класифікація індустріальних парків</w:t>
        </w:r>
      </w:hyperlink>
    </w:p>
    <w:p w:rsidR="00DF3E6C" w:rsidRPr="00DB5E76" w:rsidRDefault="00DF3E6C" w:rsidP="00DF3E6C">
      <w:pPr>
        <w:pStyle w:val="11"/>
      </w:pPr>
      <w:r w:rsidRPr="00DB5E76">
        <w:rPr>
          <w:b w:val="0"/>
          <w:lang w:val="ru-RU"/>
        </w:rPr>
        <w:fldChar w:fldCharType="end"/>
      </w:r>
    </w:p>
    <w:p w:rsidR="009E6192" w:rsidRPr="00DB5E76" w:rsidRDefault="005D4CB6" w:rsidP="00DF3E6C">
      <w:pPr>
        <w:pStyle w:val="11"/>
      </w:pPr>
      <w:bookmarkStart w:id="0" w:name="_Toc112939802"/>
      <w:bookmarkStart w:id="1" w:name="_GoBack"/>
      <w:bookmarkEnd w:id="1"/>
      <w:r w:rsidRPr="00DB5E76">
        <w:t xml:space="preserve">1. </w:t>
      </w:r>
      <w:r w:rsidR="002C7F4B" w:rsidRPr="00DB5E76">
        <w:t>Сутність індустріальних парків</w:t>
      </w:r>
      <w:bookmarkEnd w:id="0"/>
      <w:r w:rsidR="002C7F4B" w:rsidRPr="00DB5E76">
        <w:t xml:space="preserve"> </w:t>
      </w:r>
    </w:p>
    <w:p w:rsidR="002C7F4B" w:rsidRPr="00DB5E76" w:rsidRDefault="002C7F4B" w:rsidP="005D4CB6">
      <w:pPr>
        <w:spacing w:after="0" w:line="240" w:lineRule="auto"/>
        <w:ind w:firstLine="851"/>
        <w:jc w:val="both"/>
        <w:rPr>
          <w:rFonts w:ascii="Times New Roman" w:hAnsi="Times New Roman" w:cs="Times New Roman"/>
          <w:sz w:val="28"/>
          <w:szCs w:val="28"/>
          <w:lang w:val="uk-UA"/>
        </w:rPr>
      </w:pPr>
    </w:p>
    <w:p w:rsidR="00DF644E" w:rsidRPr="00DB5E76" w:rsidRDefault="00DF644E"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Для сталого соціально-економічного розвитку регіонів України необхідно залучити достатній обсяг коштів як із внутрішніх, так і з зовнішніх джерел. Залучені інвестиції дають змогу створювати нові робочі місця, збільшити обсяг податкових відрахувань, що сприятливо вплине на формування додаткових джерел фінансування соціально-економічного розвитку, а також підвищити якість інфраструктури, стимулювати розвиток підприємницької діяльності на певній території та диверсифікувати її галузеву структуру, скоротити ризики, пов’язані із циклічністю галузевого розвитку. </w:t>
      </w:r>
    </w:p>
    <w:p w:rsidR="00DF644E" w:rsidRPr="00DB5E76" w:rsidRDefault="00DF644E"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Одним із найрезультативніших підходів у досягненні вищезазначеної мети є створення та</w:t>
      </w:r>
      <w:r w:rsidR="009E6192" w:rsidRPr="00DB5E76">
        <w:rPr>
          <w:rFonts w:ascii="Times New Roman" w:hAnsi="Times New Roman" w:cs="Times New Roman"/>
          <w:sz w:val="28"/>
          <w:szCs w:val="28"/>
          <w:lang w:val="uk-UA"/>
        </w:rPr>
        <w:t xml:space="preserve"> розвиток індустріальних парків</w:t>
      </w:r>
      <w:r w:rsidR="009E6192" w:rsidRPr="00DB5E76">
        <w:rPr>
          <w:rFonts w:ascii="Times New Roman" w:hAnsi="Times New Roman" w:cs="Times New Roman"/>
          <w:sz w:val="28"/>
          <w:szCs w:val="28"/>
          <w:lang w:val="en-US"/>
        </w:rPr>
        <w:t>.</w:t>
      </w:r>
      <w:r w:rsidRPr="00DB5E76">
        <w:rPr>
          <w:rFonts w:ascii="Times New Roman" w:hAnsi="Times New Roman" w:cs="Times New Roman"/>
          <w:sz w:val="28"/>
          <w:szCs w:val="28"/>
          <w:lang w:val="uk-UA"/>
        </w:rPr>
        <w:t xml:space="preserve"> Це як своєрідні «офіси для бізнесу», що дадуть змогу не тільки збільшувати надходження до бюджетів різних рівнів, а й вирішувати соціально-економічні проблеми шляхом створення нових робочих місць та забезпечення зростання рівня зайнятості населення.</w:t>
      </w:r>
    </w:p>
    <w:p w:rsidR="00274C52" w:rsidRPr="00DB5E76" w:rsidRDefault="00274C52"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bCs/>
          <w:i/>
          <w:iCs/>
          <w:sz w:val="28"/>
          <w:szCs w:val="28"/>
          <w:lang w:val="uk-UA"/>
        </w:rPr>
        <w:t>Відповідно до Закону України “Про індустріальні парки”</w:t>
      </w:r>
      <w:r w:rsidR="009E6192" w:rsidRPr="00DB5E76">
        <w:rPr>
          <w:rFonts w:ascii="Times New Roman" w:hAnsi="Times New Roman" w:cs="Times New Roman"/>
          <w:b/>
          <w:bCs/>
          <w:i/>
          <w:iCs/>
          <w:sz w:val="28"/>
          <w:szCs w:val="28"/>
          <w:lang w:val="en-US"/>
        </w:rPr>
        <w:t xml:space="preserve"> </w:t>
      </w:r>
      <w:r w:rsidRPr="00DB5E76">
        <w:rPr>
          <w:rFonts w:ascii="Times New Roman" w:hAnsi="Times New Roman" w:cs="Times New Roman"/>
          <w:b/>
          <w:bCs/>
          <w:sz w:val="28"/>
          <w:szCs w:val="28"/>
          <w:lang w:val="uk-UA"/>
        </w:rPr>
        <w:t xml:space="preserve">індустріальний парк (ІП)  - </w:t>
      </w:r>
      <w:r w:rsidRPr="00DB5E76">
        <w:rPr>
          <w:rFonts w:ascii="Times New Roman" w:hAnsi="Times New Roman" w:cs="Times New Roman"/>
          <w:sz w:val="28"/>
          <w:szCs w:val="28"/>
          <w:lang w:val="uk-UA"/>
        </w:rPr>
        <w:t>це облаштована відповідною інфраструктурою територія, у межах якої учасники ІП можуть здійснювати</w:t>
      </w:r>
      <w:r w:rsidRPr="00DB5E76">
        <w:rPr>
          <w:rFonts w:ascii="Times New Roman" w:eastAsia="Arial" w:hAnsi="Times New Roman" w:cs="Times New Roman"/>
          <w:b/>
          <w:bCs/>
          <w:sz w:val="28"/>
          <w:szCs w:val="28"/>
          <w:lang w:val="uk-UA" w:eastAsia="ru-RU"/>
        </w:rPr>
        <w:t xml:space="preserve"> </w:t>
      </w:r>
    </w:p>
    <w:p w:rsidR="00EF0CCD" w:rsidRPr="00DB5E76" w:rsidRDefault="00DB5E76" w:rsidP="00B47DEA">
      <w:pPr>
        <w:pStyle w:val="a3"/>
        <w:numPr>
          <w:ilvl w:val="1"/>
          <w:numId w:val="4"/>
        </w:numPr>
        <w:jc w:val="both"/>
        <w:rPr>
          <w:rFonts w:eastAsiaTheme="minorHAnsi"/>
          <w:sz w:val="28"/>
          <w:szCs w:val="28"/>
          <w:lang w:val="uk-UA"/>
        </w:rPr>
      </w:pPr>
      <w:r w:rsidRPr="00DB5E76">
        <w:rPr>
          <w:rFonts w:eastAsiaTheme="minorHAnsi"/>
          <w:bCs/>
          <w:sz w:val="28"/>
          <w:szCs w:val="28"/>
          <w:lang w:val="uk-UA"/>
        </w:rPr>
        <w:t>господарську діяльність</w:t>
      </w:r>
      <w:r w:rsidRPr="00DB5E76">
        <w:rPr>
          <w:rFonts w:eastAsiaTheme="minorHAnsi"/>
          <w:sz w:val="28"/>
          <w:szCs w:val="28"/>
          <w:lang w:val="uk-UA"/>
        </w:rPr>
        <w:t xml:space="preserve"> </w:t>
      </w:r>
      <w:r w:rsidRPr="00DB5E76">
        <w:rPr>
          <w:rFonts w:eastAsiaTheme="minorHAnsi"/>
          <w:bCs/>
          <w:sz w:val="28"/>
          <w:szCs w:val="28"/>
          <w:lang w:val="uk-UA"/>
        </w:rPr>
        <w:t>у сфері переробної промисловості</w:t>
      </w:r>
    </w:p>
    <w:p w:rsidR="00EF0CCD" w:rsidRPr="00DB5E76" w:rsidRDefault="00482351" w:rsidP="00B47DEA">
      <w:pPr>
        <w:pStyle w:val="a3"/>
        <w:numPr>
          <w:ilvl w:val="1"/>
          <w:numId w:val="4"/>
        </w:numPr>
        <w:jc w:val="both"/>
        <w:rPr>
          <w:bCs/>
          <w:sz w:val="28"/>
          <w:szCs w:val="28"/>
          <w:lang w:val="uk-UA"/>
        </w:rPr>
      </w:pPr>
      <w:r w:rsidRPr="00DB5E76">
        <w:rPr>
          <w:bCs/>
          <w:sz w:val="28"/>
          <w:szCs w:val="28"/>
          <w:lang w:val="uk-UA"/>
        </w:rPr>
        <w:t>науково-технічну діяльність</w:t>
      </w:r>
    </w:p>
    <w:p w:rsidR="009E6192" w:rsidRPr="00DB5E76" w:rsidRDefault="00DB5E76" w:rsidP="00B47DEA">
      <w:pPr>
        <w:pStyle w:val="a3"/>
        <w:numPr>
          <w:ilvl w:val="1"/>
          <w:numId w:val="4"/>
        </w:numPr>
        <w:jc w:val="both"/>
        <w:rPr>
          <w:bCs/>
          <w:sz w:val="28"/>
          <w:szCs w:val="28"/>
          <w:lang w:val="uk-UA"/>
        </w:rPr>
      </w:pPr>
      <w:r w:rsidRPr="00DB5E76">
        <w:rPr>
          <w:rFonts w:eastAsia="Arial"/>
          <w:bCs/>
          <w:sz w:val="28"/>
          <w:szCs w:val="28"/>
          <w:lang w:val="uk-UA"/>
        </w:rPr>
        <w:t xml:space="preserve">діяльність </w:t>
      </w:r>
      <w:r w:rsidR="00482351" w:rsidRPr="00DB5E76">
        <w:rPr>
          <w:bCs/>
          <w:sz w:val="28"/>
          <w:szCs w:val="28"/>
          <w:lang w:val="uk-UA"/>
        </w:rPr>
        <w:t xml:space="preserve">у сфері інформації і електронних комунікацій. </w:t>
      </w:r>
    </w:p>
    <w:p w:rsidR="000C6CA1" w:rsidRPr="00DB5E76" w:rsidRDefault="000C6CA1" w:rsidP="000C6CA1">
      <w:pPr>
        <w:pStyle w:val="a3"/>
        <w:ind w:left="1440"/>
        <w:jc w:val="both"/>
        <w:rPr>
          <w:bCs/>
          <w:sz w:val="28"/>
          <w:szCs w:val="28"/>
          <w:lang w:val="uk-UA"/>
        </w:rPr>
      </w:pPr>
    </w:p>
    <w:p w:rsidR="001A0B0A" w:rsidRPr="00DB5E76" w:rsidRDefault="000C6CA1" w:rsidP="001A0B0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Їх особливість полягає в тому, що на таких територіях діє спеціальний правовий режим, визначений законодавством, який характеризується різноманітними пільгами та стимулюванням.</w:t>
      </w:r>
    </w:p>
    <w:p w:rsidR="000C6CA1" w:rsidRPr="00DB5E76" w:rsidRDefault="000C6CA1" w:rsidP="001A0B0A">
      <w:pPr>
        <w:spacing w:after="0" w:line="240" w:lineRule="auto"/>
        <w:ind w:firstLine="851"/>
        <w:jc w:val="both"/>
        <w:rPr>
          <w:rFonts w:ascii="Times New Roman" w:hAnsi="Times New Roman" w:cs="Times New Roman"/>
          <w:sz w:val="28"/>
          <w:szCs w:val="28"/>
          <w:lang w:val="uk-UA"/>
        </w:rPr>
      </w:pPr>
    </w:p>
    <w:p w:rsidR="001A0B0A" w:rsidRPr="00DB5E76" w:rsidRDefault="001A0B0A" w:rsidP="001A0B0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Індустріальні парки – це спеціальні промислові території, як правило, з підготовленою інженерно-транспортною інфраструктурою, набором необхідних сервісів, спрощеними регуляторними процедурами та пакетом інвестиційних стимулів для виробничих та науково-дослідних підприємств. Це перевірений часом і міжнародним досвідом механізм індустріалізації економіки, залучення інвестицій, збільшення зайнятості населення, </w:t>
      </w:r>
      <w:r w:rsidRPr="00DB5E76">
        <w:rPr>
          <w:rFonts w:ascii="Times New Roman" w:hAnsi="Times New Roman" w:cs="Times New Roman"/>
          <w:sz w:val="28"/>
          <w:szCs w:val="28"/>
          <w:lang w:val="uk-UA"/>
        </w:rPr>
        <w:lastRenderedPageBreak/>
        <w:t>збалансованого регіонального розвитку, підтримки місцевих виробників, сприяння малому та середньому підприємництву.</w:t>
      </w:r>
    </w:p>
    <w:p w:rsidR="001A0B0A" w:rsidRPr="00DB5E76" w:rsidRDefault="001A0B0A" w:rsidP="00B47DEA">
      <w:pPr>
        <w:spacing w:after="0" w:line="240" w:lineRule="auto"/>
        <w:ind w:firstLine="851"/>
        <w:jc w:val="both"/>
        <w:rPr>
          <w:rFonts w:ascii="Times New Roman" w:hAnsi="Times New Roman" w:cs="Times New Roman"/>
          <w:sz w:val="28"/>
          <w:szCs w:val="28"/>
          <w:lang w:val="uk-UA"/>
        </w:rPr>
      </w:pPr>
    </w:p>
    <w:p w:rsidR="00255111" w:rsidRPr="00DB5E76" w:rsidRDefault="002C7F4B"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Індустріальні парки в Україні мають певні </w:t>
      </w:r>
      <w:r w:rsidR="000C6CA1" w:rsidRPr="00DB5E76">
        <w:rPr>
          <w:rFonts w:ascii="Times New Roman" w:hAnsi="Times New Roman" w:cs="Times New Roman"/>
          <w:sz w:val="28"/>
          <w:szCs w:val="28"/>
          <w:lang w:val="uk-UA"/>
        </w:rPr>
        <w:t>характеристики</w:t>
      </w:r>
      <w:r w:rsidRPr="00DB5E76">
        <w:rPr>
          <w:rFonts w:ascii="Times New Roman" w:hAnsi="Times New Roman" w:cs="Times New Roman"/>
          <w:sz w:val="28"/>
          <w:szCs w:val="28"/>
          <w:lang w:val="uk-UA"/>
        </w:rPr>
        <w:t xml:space="preserve">, а саме; </w:t>
      </w:r>
    </w:p>
    <w:p w:rsidR="00092381" w:rsidRPr="00DB5E76" w:rsidRDefault="00092381" w:rsidP="00B47DEA">
      <w:pPr>
        <w:pStyle w:val="a3"/>
        <w:numPr>
          <w:ilvl w:val="0"/>
          <w:numId w:val="5"/>
        </w:numPr>
        <w:ind w:left="0" w:firstLine="709"/>
        <w:jc w:val="both"/>
        <w:rPr>
          <w:sz w:val="28"/>
          <w:szCs w:val="28"/>
          <w:lang w:val="uk-UA"/>
        </w:rPr>
      </w:pPr>
      <w:r w:rsidRPr="00DB5E76">
        <w:rPr>
          <w:sz w:val="28"/>
          <w:szCs w:val="28"/>
          <w:lang w:val="uk-UA"/>
        </w:rPr>
        <w:t>з</w:t>
      </w:r>
      <w:r w:rsidR="00194743" w:rsidRPr="00DB5E76">
        <w:rPr>
          <w:sz w:val="28"/>
          <w:szCs w:val="28"/>
          <w:lang w:val="uk-UA"/>
        </w:rPr>
        <w:t xml:space="preserve">емельна ділянка, використання якої планується для створення та функціонування індустріального парку, </w:t>
      </w:r>
      <w:r w:rsidR="00F75D58" w:rsidRPr="00DB5E76">
        <w:rPr>
          <w:sz w:val="28"/>
          <w:szCs w:val="28"/>
          <w:lang w:val="uk-UA"/>
        </w:rPr>
        <w:t>повинна належати до земель</w:t>
      </w:r>
      <w:r w:rsidR="00194743" w:rsidRPr="00DB5E76">
        <w:rPr>
          <w:sz w:val="28"/>
          <w:szCs w:val="28"/>
          <w:lang w:val="uk-UA"/>
        </w:rPr>
        <w:t xml:space="preserve"> промисловост</w:t>
      </w:r>
      <w:r w:rsidRPr="00DB5E76">
        <w:rPr>
          <w:sz w:val="28"/>
          <w:szCs w:val="28"/>
          <w:lang w:val="uk-UA"/>
        </w:rPr>
        <w:t>і</w:t>
      </w:r>
    </w:p>
    <w:p w:rsidR="00194743" w:rsidRPr="00DB5E76" w:rsidRDefault="00092381" w:rsidP="00B47DEA">
      <w:pPr>
        <w:pStyle w:val="a3"/>
        <w:numPr>
          <w:ilvl w:val="0"/>
          <w:numId w:val="5"/>
        </w:numPr>
        <w:ind w:left="0" w:firstLine="709"/>
        <w:jc w:val="both"/>
        <w:rPr>
          <w:sz w:val="28"/>
          <w:szCs w:val="28"/>
          <w:lang w:val="uk-UA"/>
        </w:rPr>
      </w:pPr>
      <w:r w:rsidRPr="00DB5E76">
        <w:rPr>
          <w:sz w:val="28"/>
          <w:szCs w:val="28"/>
          <w:lang w:val="uk-UA"/>
        </w:rPr>
        <w:t>площа земельної</w:t>
      </w:r>
      <w:r w:rsidR="00194743" w:rsidRPr="00DB5E76">
        <w:rPr>
          <w:sz w:val="28"/>
          <w:szCs w:val="28"/>
          <w:lang w:val="uk-UA"/>
        </w:rPr>
        <w:t xml:space="preserve"> ділянки або сукупна площа суміжних земельних ділянок повинна становити не менше 10 гектарів та не більше однієї тисячі гектарів. </w:t>
      </w:r>
    </w:p>
    <w:p w:rsidR="00F75D58" w:rsidRPr="00DB5E76" w:rsidRDefault="00F75D58" w:rsidP="00B47DEA">
      <w:pPr>
        <w:pStyle w:val="a3"/>
        <w:numPr>
          <w:ilvl w:val="0"/>
          <w:numId w:val="5"/>
        </w:numPr>
        <w:ind w:left="0" w:firstLine="709"/>
        <w:jc w:val="both"/>
        <w:rPr>
          <w:sz w:val="28"/>
          <w:szCs w:val="28"/>
          <w:lang w:val="uk-UA"/>
        </w:rPr>
      </w:pPr>
      <w:r w:rsidRPr="00DB5E76">
        <w:rPr>
          <w:sz w:val="28"/>
          <w:szCs w:val="28"/>
          <w:lang w:val="uk-UA"/>
        </w:rPr>
        <w:t>строк використання земельної ділянки у межах індустріального парку повинен бути не менше 30 років з дня прийняття рішення про створення індустріального парку</w:t>
      </w:r>
    </w:p>
    <w:p w:rsidR="00EF0CCD" w:rsidRPr="00DB5E76" w:rsidRDefault="00F75D58" w:rsidP="001A0B0A">
      <w:pPr>
        <w:pStyle w:val="a3"/>
        <w:numPr>
          <w:ilvl w:val="0"/>
          <w:numId w:val="5"/>
        </w:numPr>
        <w:ind w:left="0" w:firstLine="709"/>
        <w:jc w:val="both"/>
        <w:rPr>
          <w:sz w:val="28"/>
          <w:szCs w:val="28"/>
          <w:lang w:val="uk-UA"/>
        </w:rPr>
      </w:pPr>
      <w:r w:rsidRPr="00DB5E76">
        <w:rPr>
          <w:sz w:val="28"/>
          <w:szCs w:val="28"/>
          <w:lang w:val="uk-UA"/>
        </w:rPr>
        <w:t>використання земельних ділянок у межах індустріальних парків повинно відповідати санітарно-епідеміологічним та екологічним вимогам.</w:t>
      </w:r>
    </w:p>
    <w:p w:rsidR="001A0B0A" w:rsidRPr="00DB5E76" w:rsidRDefault="001A0B0A" w:rsidP="001A0B0A">
      <w:pPr>
        <w:pStyle w:val="a3"/>
        <w:ind w:left="709"/>
        <w:jc w:val="both"/>
        <w:rPr>
          <w:sz w:val="28"/>
          <w:szCs w:val="28"/>
          <w:lang w:val="uk-UA"/>
        </w:rPr>
      </w:pPr>
    </w:p>
    <w:p w:rsidR="00255111" w:rsidRPr="00DB5E76" w:rsidRDefault="00255111" w:rsidP="001A0B0A">
      <w:pPr>
        <w:pStyle w:val="a3"/>
        <w:ind w:left="709"/>
        <w:jc w:val="both"/>
        <w:rPr>
          <w:sz w:val="28"/>
          <w:szCs w:val="28"/>
          <w:lang w:val="uk-UA"/>
        </w:rPr>
      </w:pPr>
      <w:r w:rsidRPr="00DB5E76">
        <w:rPr>
          <w:sz w:val="28"/>
          <w:szCs w:val="28"/>
          <w:lang w:val="uk-UA"/>
        </w:rPr>
        <w:t>Функціонування індустріальних парків спрямоване на:</w:t>
      </w:r>
    </w:p>
    <w:p w:rsidR="00255111" w:rsidRPr="00DB5E76" w:rsidRDefault="00255111" w:rsidP="001A0B0A">
      <w:pPr>
        <w:pStyle w:val="a3"/>
        <w:numPr>
          <w:ilvl w:val="0"/>
          <w:numId w:val="5"/>
        </w:numPr>
        <w:ind w:left="0" w:firstLine="709"/>
        <w:jc w:val="both"/>
        <w:rPr>
          <w:sz w:val="28"/>
          <w:szCs w:val="28"/>
          <w:lang w:val="uk-UA"/>
        </w:rPr>
      </w:pPr>
      <w:r w:rsidRPr="00DB5E76">
        <w:rPr>
          <w:sz w:val="28"/>
          <w:szCs w:val="28"/>
          <w:lang w:val="uk-UA"/>
        </w:rPr>
        <w:t>1) залучення інвестицій та розвиток економіки України;</w:t>
      </w:r>
    </w:p>
    <w:p w:rsidR="00255111" w:rsidRPr="00DB5E76" w:rsidRDefault="00255111" w:rsidP="001A0B0A">
      <w:pPr>
        <w:pStyle w:val="a3"/>
        <w:numPr>
          <w:ilvl w:val="0"/>
          <w:numId w:val="5"/>
        </w:numPr>
        <w:ind w:left="0" w:firstLine="709"/>
        <w:jc w:val="both"/>
        <w:rPr>
          <w:sz w:val="28"/>
          <w:szCs w:val="28"/>
          <w:lang w:val="uk-UA"/>
        </w:rPr>
      </w:pPr>
      <w:r w:rsidRPr="00DB5E76">
        <w:rPr>
          <w:sz w:val="28"/>
          <w:szCs w:val="28"/>
          <w:lang w:val="uk-UA"/>
        </w:rPr>
        <w:t>2) вирівнювання економічного розвитку регіонів та підвищення якості життя населення України;</w:t>
      </w:r>
    </w:p>
    <w:p w:rsidR="00255111" w:rsidRPr="00DB5E76" w:rsidRDefault="00255111" w:rsidP="001A0B0A">
      <w:pPr>
        <w:pStyle w:val="a3"/>
        <w:numPr>
          <w:ilvl w:val="0"/>
          <w:numId w:val="5"/>
        </w:numPr>
        <w:ind w:left="0" w:firstLine="709"/>
        <w:jc w:val="both"/>
        <w:rPr>
          <w:sz w:val="28"/>
          <w:szCs w:val="28"/>
          <w:lang w:val="uk-UA"/>
        </w:rPr>
      </w:pPr>
      <w:r w:rsidRPr="00DB5E76">
        <w:rPr>
          <w:sz w:val="28"/>
          <w:szCs w:val="28"/>
          <w:lang w:val="uk-UA"/>
        </w:rPr>
        <w:t>3) запровадження інноваційних та енергозберігаючих технологій;</w:t>
      </w:r>
    </w:p>
    <w:p w:rsidR="00255111" w:rsidRPr="00DB5E76" w:rsidRDefault="00255111" w:rsidP="001A0B0A">
      <w:pPr>
        <w:pStyle w:val="a3"/>
        <w:numPr>
          <w:ilvl w:val="0"/>
          <w:numId w:val="5"/>
        </w:numPr>
        <w:ind w:left="0" w:firstLine="709"/>
        <w:jc w:val="both"/>
        <w:rPr>
          <w:sz w:val="28"/>
          <w:szCs w:val="28"/>
          <w:lang w:val="uk-UA"/>
        </w:rPr>
      </w:pPr>
      <w:r w:rsidRPr="00DB5E76">
        <w:rPr>
          <w:sz w:val="28"/>
          <w:szCs w:val="28"/>
          <w:lang w:val="uk-UA"/>
        </w:rPr>
        <w:t>4) створення нових робочих місць;</w:t>
      </w:r>
    </w:p>
    <w:p w:rsidR="00255111" w:rsidRPr="00DB5E76" w:rsidRDefault="00255111" w:rsidP="001A0B0A">
      <w:pPr>
        <w:pStyle w:val="a3"/>
        <w:numPr>
          <w:ilvl w:val="0"/>
          <w:numId w:val="5"/>
        </w:numPr>
        <w:ind w:left="0" w:firstLine="709"/>
        <w:jc w:val="both"/>
        <w:rPr>
          <w:sz w:val="28"/>
          <w:szCs w:val="28"/>
          <w:lang w:val="uk-UA"/>
        </w:rPr>
      </w:pPr>
      <w:r w:rsidRPr="00DB5E76">
        <w:rPr>
          <w:sz w:val="28"/>
          <w:szCs w:val="28"/>
          <w:lang w:val="uk-UA"/>
        </w:rPr>
        <w:t>5) сталий розвиток та захист навколишнього природного середовища.</w:t>
      </w:r>
    </w:p>
    <w:p w:rsidR="00255111" w:rsidRPr="00DB5E76" w:rsidRDefault="00255111" w:rsidP="00B47DEA">
      <w:pPr>
        <w:pStyle w:val="a3"/>
        <w:ind w:left="851"/>
        <w:jc w:val="both"/>
        <w:rPr>
          <w:sz w:val="28"/>
          <w:szCs w:val="28"/>
          <w:lang w:val="uk-UA"/>
        </w:rPr>
      </w:pPr>
    </w:p>
    <w:p w:rsidR="001A0B0A" w:rsidRPr="00DB5E76" w:rsidRDefault="001A0B0A" w:rsidP="00B47DEA">
      <w:pPr>
        <w:pStyle w:val="a3"/>
        <w:ind w:left="851"/>
        <w:jc w:val="both"/>
        <w:rPr>
          <w:sz w:val="28"/>
          <w:szCs w:val="28"/>
          <w:lang w:val="uk-UA"/>
        </w:rPr>
      </w:pPr>
    </w:p>
    <w:p w:rsidR="001A0B0A" w:rsidRPr="00DB5E76" w:rsidRDefault="00D64BCC" w:rsidP="005D4CB6">
      <w:pPr>
        <w:pStyle w:val="11"/>
      </w:pPr>
      <w:bookmarkStart w:id="2" w:name="_Toc112939803"/>
      <w:r w:rsidRPr="00DB5E76">
        <w:rPr>
          <w:rFonts w:eastAsia="Times New Roman"/>
          <w:lang w:eastAsia="ru-RU"/>
        </w:rPr>
        <w:t>2.</w:t>
      </w:r>
      <w:r w:rsidRPr="00DB5E76">
        <w:t xml:space="preserve"> Загальна характеристика суб’єктів та об’єктів індустріальних парків</w:t>
      </w:r>
      <w:bookmarkEnd w:id="2"/>
    </w:p>
    <w:p w:rsidR="00D64BCC" w:rsidRPr="00DB5E76" w:rsidRDefault="00D64BCC" w:rsidP="00B47DEA">
      <w:pPr>
        <w:spacing w:after="0" w:line="240" w:lineRule="auto"/>
        <w:ind w:firstLine="851"/>
        <w:jc w:val="both"/>
        <w:rPr>
          <w:rFonts w:ascii="Times New Roman" w:hAnsi="Times New Roman" w:cs="Times New Roman"/>
          <w:sz w:val="28"/>
          <w:szCs w:val="28"/>
          <w:lang w:val="uk-UA"/>
        </w:rPr>
      </w:pPr>
    </w:p>
    <w:p w:rsidR="004265E9" w:rsidRPr="00DB5E76" w:rsidRDefault="00D64BCC"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До суб’єктів індустріальних парків відповідно до законодавства відносять: </w:t>
      </w:r>
    </w:p>
    <w:p w:rsidR="004265E9" w:rsidRPr="00DB5E76" w:rsidRDefault="004265E9" w:rsidP="004265E9">
      <w:pPr>
        <w:pStyle w:val="a3"/>
        <w:numPr>
          <w:ilvl w:val="0"/>
          <w:numId w:val="7"/>
        </w:numPr>
        <w:jc w:val="both"/>
        <w:rPr>
          <w:sz w:val="28"/>
          <w:szCs w:val="28"/>
          <w:lang w:val="uk-UA"/>
        </w:rPr>
      </w:pPr>
      <w:r w:rsidRPr="00DB5E76">
        <w:rPr>
          <w:sz w:val="28"/>
          <w:szCs w:val="28"/>
          <w:lang w:val="uk-UA"/>
        </w:rPr>
        <w:t xml:space="preserve">ініціаторів створення ІП, </w:t>
      </w:r>
    </w:p>
    <w:p w:rsidR="004265E9" w:rsidRPr="00DB5E76" w:rsidRDefault="004265E9" w:rsidP="004265E9">
      <w:pPr>
        <w:pStyle w:val="a3"/>
        <w:numPr>
          <w:ilvl w:val="0"/>
          <w:numId w:val="7"/>
        </w:numPr>
        <w:jc w:val="both"/>
        <w:rPr>
          <w:sz w:val="28"/>
          <w:szCs w:val="28"/>
          <w:lang w:val="uk-UA"/>
        </w:rPr>
      </w:pPr>
      <w:r w:rsidRPr="00DB5E76">
        <w:rPr>
          <w:sz w:val="28"/>
          <w:szCs w:val="28"/>
          <w:lang w:val="uk-UA"/>
        </w:rPr>
        <w:t xml:space="preserve">керуючі компанії, </w:t>
      </w:r>
    </w:p>
    <w:p w:rsidR="00D64BCC" w:rsidRPr="00DB5E76" w:rsidRDefault="004265E9" w:rsidP="004265E9">
      <w:pPr>
        <w:pStyle w:val="a3"/>
        <w:numPr>
          <w:ilvl w:val="0"/>
          <w:numId w:val="7"/>
        </w:numPr>
        <w:jc w:val="both"/>
        <w:rPr>
          <w:sz w:val="28"/>
          <w:szCs w:val="28"/>
          <w:lang w:val="uk-UA"/>
        </w:rPr>
      </w:pPr>
      <w:r w:rsidRPr="00DB5E76">
        <w:rPr>
          <w:sz w:val="28"/>
          <w:szCs w:val="28"/>
          <w:lang w:val="uk-UA"/>
        </w:rPr>
        <w:t xml:space="preserve">учасники ІП. </w:t>
      </w:r>
    </w:p>
    <w:p w:rsidR="004265E9" w:rsidRPr="00DB5E76" w:rsidRDefault="004265E9" w:rsidP="00B47DEA">
      <w:pPr>
        <w:spacing w:after="0" w:line="240" w:lineRule="auto"/>
        <w:ind w:firstLine="851"/>
        <w:jc w:val="both"/>
        <w:rPr>
          <w:rFonts w:ascii="Times New Roman" w:hAnsi="Times New Roman" w:cs="Times New Roman"/>
          <w:sz w:val="28"/>
          <w:szCs w:val="28"/>
          <w:lang w:val="uk-UA"/>
        </w:rPr>
      </w:pPr>
    </w:p>
    <w:p w:rsidR="004E0AF4" w:rsidRPr="00DB5E76" w:rsidRDefault="004E0AF4" w:rsidP="00B47DEA">
      <w:pPr>
        <w:spacing w:after="0" w:line="240" w:lineRule="auto"/>
        <w:ind w:firstLine="851"/>
        <w:jc w:val="both"/>
        <w:rPr>
          <w:rFonts w:ascii="Times New Roman" w:hAnsi="Times New Roman" w:cs="Times New Roman"/>
          <w:b/>
          <w:bCs/>
          <w:sz w:val="28"/>
          <w:szCs w:val="28"/>
          <w:lang w:val="uk-UA"/>
        </w:rPr>
      </w:pPr>
      <w:r w:rsidRPr="00DB5E76">
        <w:rPr>
          <w:rFonts w:ascii="Times New Roman" w:hAnsi="Times New Roman" w:cs="Times New Roman"/>
          <w:b/>
          <w:bCs/>
          <w:sz w:val="28"/>
          <w:szCs w:val="28"/>
          <w:lang w:val="uk-UA"/>
        </w:rPr>
        <w:t>І</w:t>
      </w:r>
      <w:r w:rsidR="004265E9" w:rsidRPr="00DB5E76">
        <w:rPr>
          <w:rFonts w:ascii="Times New Roman" w:hAnsi="Times New Roman" w:cs="Times New Roman"/>
          <w:b/>
          <w:bCs/>
          <w:sz w:val="28"/>
          <w:szCs w:val="28"/>
          <w:lang w:val="uk-UA"/>
        </w:rPr>
        <w:t xml:space="preserve">ніціатор створення індустріального парку </w:t>
      </w:r>
      <w:r w:rsidRPr="00DB5E76">
        <w:rPr>
          <w:rFonts w:ascii="Times New Roman" w:hAnsi="Times New Roman" w:cs="Times New Roman"/>
          <w:b/>
          <w:bCs/>
          <w:sz w:val="28"/>
          <w:szCs w:val="28"/>
          <w:lang w:val="uk-UA"/>
        </w:rPr>
        <w:t xml:space="preserve">це - </w:t>
      </w:r>
    </w:p>
    <w:p w:rsidR="004E0AF4" w:rsidRPr="00DB5E76" w:rsidRDefault="004265E9" w:rsidP="00B47DEA">
      <w:pPr>
        <w:spacing w:after="0" w:line="240" w:lineRule="auto"/>
        <w:ind w:firstLine="851"/>
        <w:jc w:val="both"/>
        <w:rPr>
          <w:rFonts w:ascii="Times New Roman" w:hAnsi="Times New Roman" w:cs="Times New Roman"/>
          <w:bCs/>
          <w:sz w:val="28"/>
          <w:szCs w:val="28"/>
          <w:lang w:val="uk-UA"/>
        </w:rPr>
      </w:pPr>
      <w:r w:rsidRPr="00DB5E76">
        <w:rPr>
          <w:rFonts w:ascii="Times New Roman" w:hAnsi="Times New Roman" w:cs="Times New Roman"/>
          <w:bCs/>
          <w:i/>
          <w:sz w:val="28"/>
          <w:szCs w:val="28"/>
          <w:lang w:val="uk-UA"/>
        </w:rPr>
        <w:t>орган державної влади, орган місцевого самоврядування,</w:t>
      </w:r>
      <w:r w:rsidRPr="00DB5E76">
        <w:rPr>
          <w:rFonts w:ascii="Times New Roman" w:hAnsi="Times New Roman" w:cs="Times New Roman"/>
          <w:bCs/>
          <w:sz w:val="28"/>
          <w:szCs w:val="28"/>
          <w:lang w:val="uk-UA"/>
        </w:rPr>
        <w:t xml:space="preserve"> який здійснює право власника на землю від імені Українського народу і відповідно до закону наділений повноваженнями розпорядження землею, </w:t>
      </w:r>
    </w:p>
    <w:p w:rsidR="004265E9" w:rsidRPr="00DB5E76" w:rsidRDefault="004265E9" w:rsidP="00B47DEA">
      <w:pPr>
        <w:spacing w:after="0" w:line="240" w:lineRule="auto"/>
        <w:ind w:firstLine="851"/>
        <w:jc w:val="both"/>
        <w:rPr>
          <w:rFonts w:ascii="Times New Roman" w:hAnsi="Times New Roman" w:cs="Times New Roman"/>
          <w:bCs/>
          <w:sz w:val="28"/>
          <w:szCs w:val="28"/>
          <w:lang w:val="uk-UA"/>
        </w:rPr>
      </w:pPr>
      <w:r w:rsidRPr="00DB5E76">
        <w:rPr>
          <w:rFonts w:ascii="Times New Roman" w:hAnsi="Times New Roman" w:cs="Times New Roman"/>
          <w:bCs/>
          <w:i/>
          <w:sz w:val="28"/>
          <w:szCs w:val="28"/>
          <w:lang w:val="uk-UA"/>
        </w:rPr>
        <w:t>юридична або фізична особа</w:t>
      </w:r>
      <w:r w:rsidRPr="00DB5E76">
        <w:rPr>
          <w:rFonts w:ascii="Times New Roman" w:hAnsi="Times New Roman" w:cs="Times New Roman"/>
          <w:bCs/>
          <w:sz w:val="28"/>
          <w:szCs w:val="28"/>
          <w:lang w:val="uk-UA"/>
        </w:rPr>
        <w:t xml:space="preserve"> - власник чи орендар земельної ділянки, яка може бути використана та пропонується ним для створення індустріального парку.</w:t>
      </w:r>
    </w:p>
    <w:p w:rsidR="004E0AF4" w:rsidRPr="00DB5E76" w:rsidRDefault="004E0AF4" w:rsidP="004E0AF4">
      <w:pPr>
        <w:pStyle w:val="rvps2"/>
        <w:shd w:val="clear" w:color="auto" w:fill="FFFFFF"/>
        <w:spacing w:before="0" w:beforeAutospacing="0" w:after="0" w:afterAutospacing="0"/>
        <w:ind w:firstLine="851"/>
        <w:jc w:val="both"/>
        <w:rPr>
          <w:sz w:val="28"/>
          <w:szCs w:val="28"/>
          <w:lang w:val="uk-UA"/>
        </w:rPr>
      </w:pPr>
    </w:p>
    <w:p w:rsidR="004E0AF4" w:rsidRPr="00DB5E76" w:rsidRDefault="004E0AF4" w:rsidP="004E0AF4">
      <w:pPr>
        <w:pStyle w:val="rvps2"/>
        <w:shd w:val="clear" w:color="auto" w:fill="FFFFFF"/>
        <w:spacing w:before="0" w:beforeAutospacing="0" w:after="0" w:afterAutospacing="0"/>
        <w:ind w:firstLine="851"/>
        <w:jc w:val="both"/>
        <w:rPr>
          <w:sz w:val="28"/>
          <w:szCs w:val="28"/>
          <w:lang w:val="uk-UA"/>
        </w:rPr>
      </w:pPr>
      <w:r w:rsidRPr="00DB5E76">
        <w:rPr>
          <w:b/>
          <w:sz w:val="28"/>
          <w:szCs w:val="28"/>
          <w:lang w:val="uk-UA"/>
        </w:rPr>
        <w:lastRenderedPageBreak/>
        <w:t>Керуюча компанія індустріального парку</w:t>
      </w:r>
      <w:r w:rsidRPr="00DB5E76">
        <w:rPr>
          <w:sz w:val="28"/>
          <w:szCs w:val="28"/>
          <w:lang w:val="uk-UA"/>
        </w:rPr>
        <w:t xml:space="preserve"> – створена згідно із законодавством України юридична особа незалежно від організаційно-правової форми та вибрана відповідно до цього Закону, з якою ініціатором створення укладений договір про створення та функціонування індустріального парку;</w:t>
      </w:r>
    </w:p>
    <w:p w:rsidR="00065835" w:rsidRPr="00DB5E76" w:rsidRDefault="00065835" w:rsidP="00065835">
      <w:pPr>
        <w:spacing w:after="0" w:line="240" w:lineRule="auto"/>
        <w:ind w:firstLine="851"/>
        <w:jc w:val="both"/>
        <w:rPr>
          <w:rFonts w:ascii="Times New Roman" w:hAnsi="Times New Roman" w:cs="Times New Roman"/>
          <w:sz w:val="28"/>
          <w:szCs w:val="28"/>
          <w:shd w:val="clear" w:color="auto" w:fill="FFFFFF"/>
          <w:lang w:val="uk-UA"/>
        </w:rPr>
      </w:pPr>
      <w:r w:rsidRPr="00DB5E76">
        <w:rPr>
          <w:rFonts w:ascii="Times New Roman" w:hAnsi="Times New Roman" w:cs="Times New Roman"/>
          <w:b/>
          <w:sz w:val="28"/>
          <w:szCs w:val="28"/>
          <w:shd w:val="clear" w:color="auto" w:fill="FFFFFF"/>
          <w:lang w:val="uk-UA"/>
        </w:rPr>
        <w:t>Учасник індустріального парку</w:t>
      </w:r>
      <w:r w:rsidRPr="00DB5E76">
        <w:rPr>
          <w:rFonts w:ascii="Times New Roman" w:hAnsi="Times New Roman" w:cs="Times New Roman"/>
          <w:sz w:val="28"/>
          <w:szCs w:val="28"/>
          <w:shd w:val="clear" w:color="auto" w:fill="FFFFFF"/>
          <w:lang w:val="uk-UA"/>
        </w:rPr>
        <w:t xml:space="preserve"> – суб’єкт господарювання будь-якої форми власності, зареєстрований на території (в межах) індустріального парку, який згідно із законодавством: </w:t>
      </w:r>
    </w:p>
    <w:p w:rsidR="00065835" w:rsidRPr="00DB5E76" w:rsidRDefault="00065835" w:rsidP="00065835">
      <w:pPr>
        <w:spacing w:after="0" w:line="240" w:lineRule="auto"/>
        <w:ind w:firstLine="851"/>
        <w:jc w:val="both"/>
        <w:rPr>
          <w:rFonts w:ascii="Times New Roman" w:hAnsi="Times New Roman" w:cs="Times New Roman"/>
          <w:sz w:val="28"/>
          <w:szCs w:val="28"/>
          <w:shd w:val="clear" w:color="auto" w:fill="FFFFFF"/>
          <w:lang w:val="uk-UA"/>
        </w:rPr>
      </w:pPr>
      <w:r w:rsidRPr="00DB5E76">
        <w:rPr>
          <w:rFonts w:ascii="Times New Roman" w:hAnsi="Times New Roman" w:cs="Times New Roman"/>
          <w:sz w:val="28"/>
          <w:szCs w:val="28"/>
          <w:shd w:val="clear" w:color="auto" w:fill="FFFFFF"/>
          <w:lang w:val="uk-UA"/>
        </w:rPr>
        <w:t xml:space="preserve">набув право на земельну ділянку та/або інший об’єкт (частину об’єкта) нерухомого майна у межах індустріального парку, </w:t>
      </w:r>
    </w:p>
    <w:p w:rsidR="00C62AA9" w:rsidRPr="00DB5E76" w:rsidRDefault="00065835" w:rsidP="00065835">
      <w:pPr>
        <w:spacing w:after="0" w:line="240" w:lineRule="auto"/>
        <w:ind w:firstLine="851"/>
        <w:jc w:val="both"/>
        <w:rPr>
          <w:rFonts w:ascii="Times New Roman" w:hAnsi="Times New Roman" w:cs="Times New Roman"/>
          <w:sz w:val="28"/>
          <w:szCs w:val="28"/>
          <w:shd w:val="clear" w:color="auto" w:fill="FFFFFF"/>
          <w:lang w:val="uk-UA"/>
        </w:rPr>
      </w:pPr>
      <w:r w:rsidRPr="00DB5E76">
        <w:rPr>
          <w:rFonts w:ascii="Times New Roman" w:hAnsi="Times New Roman" w:cs="Times New Roman"/>
          <w:sz w:val="28"/>
          <w:szCs w:val="28"/>
          <w:shd w:val="clear" w:color="auto" w:fill="FFFFFF"/>
          <w:lang w:val="uk-UA"/>
        </w:rPr>
        <w:t xml:space="preserve">уклав з керуючою компанією договір про здійснення господарської діяльності у межах індустріального парку відповідно до концепції індустріального парку </w:t>
      </w:r>
    </w:p>
    <w:p w:rsidR="00065835" w:rsidRPr="00DB5E76" w:rsidRDefault="00065835" w:rsidP="00065835">
      <w:pPr>
        <w:spacing w:after="0" w:line="240" w:lineRule="auto"/>
        <w:ind w:firstLine="851"/>
        <w:jc w:val="both"/>
        <w:rPr>
          <w:rFonts w:ascii="Times New Roman" w:hAnsi="Times New Roman" w:cs="Times New Roman"/>
          <w:sz w:val="28"/>
          <w:szCs w:val="28"/>
          <w:shd w:val="clear" w:color="auto" w:fill="FFFFFF"/>
          <w:lang w:val="uk-UA"/>
        </w:rPr>
      </w:pPr>
      <w:r w:rsidRPr="00DB5E76">
        <w:rPr>
          <w:rFonts w:ascii="Times New Roman" w:hAnsi="Times New Roman" w:cs="Times New Roman"/>
          <w:sz w:val="28"/>
          <w:szCs w:val="28"/>
          <w:shd w:val="clear" w:color="auto" w:fill="FFFFFF"/>
          <w:lang w:val="uk-UA"/>
        </w:rPr>
        <w:t>має здійснювати діяльність виключно у сфері переробної промисловості, переробки промислових та/або побутових відходів, а також науково-технічну діяльність, діяльність у сфері інформації і телекомунік</w:t>
      </w:r>
      <w:r w:rsidR="00C62AA9" w:rsidRPr="00DB5E76">
        <w:rPr>
          <w:rFonts w:ascii="Times New Roman" w:hAnsi="Times New Roman" w:cs="Times New Roman"/>
          <w:sz w:val="28"/>
          <w:szCs w:val="28"/>
          <w:shd w:val="clear" w:color="auto" w:fill="FFFFFF"/>
          <w:lang w:val="uk-UA"/>
        </w:rPr>
        <w:t>ацій лише на території</w:t>
      </w:r>
      <w:r w:rsidRPr="00DB5E76">
        <w:rPr>
          <w:rFonts w:ascii="Times New Roman" w:hAnsi="Times New Roman" w:cs="Times New Roman"/>
          <w:sz w:val="28"/>
          <w:szCs w:val="28"/>
          <w:shd w:val="clear" w:color="auto" w:fill="FFFFFF"/>
          <w:lang w:val="uk-UA"/>
        </w:rPr>
        <w:t xml:space="preserve"> індустріального парку</w:t>
      </w:r>
      <w:r w:rsidR="00C62AA9" w:rsidRPr="00DB5E76">
        <w:rPr>
          <w:rFonts w:ascii="Times New Roman" w:hAnsi="Times New Roman" w:cs="Times New Roman"/>
          <w:sz w:val="28"/>
          <w:szCs w:val="28"/>
          <w:shd w:val="clear" w:color="auto" w:fill="FFFFFF"/>
          <w:lang w:val="uk-UA"/>
        </w:rPr>
        <w:t xml:space="preserve">. </w:t>
      </w:r>
    </w:p>
    <w:p w:rsidR="00166123" w:rsidRPr="00166123" w:rsidRDefault="00166123" w:rsidP="00166123">
      <w:pPr>
        <w:spacing w:after="0" w:line="240" w:lineRule="auto"/>
        <w:ind w:firstLine="851"/>
        <w:jc w:val="both"/>
        <w:rPr>
          <w:rFonts w:ascii="Times New Roman" w:hAnsi="Times New Roman" w:cs="Times New Roman"/>
          <w:bCs/>
          <w:sz w:val="28"/>
          <w:szCs w:val="28"/>
          <w:lang w:val="uk-UA"/>
        </w:rPr>
      </w:pPr>
      <w:r w:rsidRPr="00166123">
        <w:rPr>
          <w:rFonts w:ascii="Times New Roman" w:hAnsi="Times New Roman" w:cs="Times New Roman"/>
          <w:bCs/>
          <w:sz w:val="28"/>
          <w:szCs w:val="28"/>
          <w:lang w:val="uk-UA"/>
        </w:rPr>
        <w:t>Як правило, ініціатором створення індустріального парку стають органи місцевої влади, які зацікавлені в стимулюванні інвестиційної активності на своїй території. Вони краще обізнані з її</w:t>
      </w:r>
      <w:r>
        <w:rPr>
          <w:rFonts w:ascii="Times New Roman" w:hAnsi="Times New Roman" w:cs="Times New Roman"/>
          <w:bCs/>
          <w:sz w:val="28"/>
          <w:szCs w:val="28"/>
          <w:lang w:val="uk-UA"/>
        </w:rPr>
        <w:t xml:space="preserve"> </w:t>
      </w:r>
      <w:r w:rsidRPr="00166123">
        <w:rPr>
          <w:rFonts w:ascii="Times New Roman" w:hAnsi="Times New Roman" w:cs="Times New Roman"/>
          <w:bCs/>
          <w:sz w:val="28"/>
          <w:szCs w:val="28"/>
          <w:lang w:val="uk-UA"/>
        </w:rPr>
        <w:t>географічним, технологічним та інфраструктурним потенціалом, тому компетентніше можуть</w:t>
      </w:r>
      <w:r>
        <w:rPr>
          <w:rFonts w:ascii="Times New Roman" w:hAnsi="Times New Roman" w:cs="Times New Roman"/>
          <w:bCs/>
          <w:sz w:val="28"/>
          <w:szCs w:val="28"/>
          <w:lang w:val="uk-UA"/>
        </w:rPr>
        <w:t xml:space="preserve"> </w:t>
      </w:r>
      <w:r w:rsidRPr="00166123">
        <w:rPr>
          <w:rFonts w:ascii="Times New Roman" w:hAnsi="Times New Roman" w:cs="Times New Roman"/>
          <w:bCs/>
          <w:sz w:val="28"/>
          <w:szCs w:val="28"/>
          <w:lang w:val="uk-UA"/>
        </w:rPr>
        <w:t>створити бізнес–план індустріального парку, ніж</w:t>
      </w:r>
      <w:r>
        <w:rPr>
          <w:rFonts w:ascii="Times New Roman" w:hAnsi="Times New Roman" w:cs="Times New Roman"/>
          <w:bCs/>
          <w:sz w:val="28"/>
          <w:szCs w:val="28"/>
          <w:lang w:val="uk-UA"/>
        </w:rPr>
        <w:t xml:space="preserve"> </w:t>
      </w:r>
      <w:r w:rsidRPr="00166123">
        <w:rPr>
          <w:rFonts w:ascii="Times New Roman" w:hAnsi="Times New Roman" w:cs="Times New Roman"/>
          <w:bCs/>
          <w:sz w:val="28"/>
          <w:szCs w:val="28"/>
          <w:lang w:val="uk-UA"/>
        </w:rPr>
        <w:t>спеціалісти центральних органів влади. Для облаштування території індустріального парку та</w:t>
      </w:r>
      <w:r>
        <w:rPr>
          <w:rFonts w:ascii="Times New Roman" w:hAnsi="Times New Roman" w:cs="Times New Roman"/>
          <w:bCs/>
          <w:sz w:val="28"/>
          <w:szCs w:val="28"/>
          <w:lang w:val="uk-UA"/>
        </w:rPr>
        <w:t xml:space="preserve"> </w:t>
      </w:r>
      <w:r w:rsidRPr="00166123">
        <w:rPr>
          <w:rFonts w:ascii="Times New Roman" w:hAnsi="Times New Roman" w:cs="Times New Roman"/>
          <w:bCs/>
          <w:sz w:val="28"/>
          <w:szCs w:val="28"/>
          <w:lang w:val="uk-UA"/>
        </w:rPr>
        <w:t>подальшого його обслуговування створюється</w:t>
      </w:r>
      <w:r>
        <w:rPr>
          <w:rFonts w:ascii="Times New Roman" w:hAnsi="Times New Roman" w:cs="Times New Roman"/>
          <w:bCs/>
          <w:sz w:val="28"/>
          <w:szCs w:val="28"/>
          <w:lang w:val="uk-UA"/>
        </w:rPr>
        <w:t xml:space="preserve"> </w:t>
      </w:r>
      <w:r w:rsidRPr="00166123">
        <w:rPr>
          <w:rFonts w:ascii="Times New Roman" w:hAnsi="Times New Roman" w:cs="Times New Roman"/>
          <w:bCs/>
          <w:sz w:val="28"/>
          <w:szCs w:val="28"/>
          <w:lang w:val="uk-UA"/>
        </w:rPr>
        <w:t>окрема юридична особа – керуюча компанія.</w:t>
      </w:r>
    </w:p>
    <w:p w:rsidR="00166123" w:rsidRPr="00166123" w:rsidRDefault="00166123" w:rsidP="00166123">
      <w:pPr>
        <w:spacing w:after="0" w:line="240" w:lineRule="auto"/>
        <w:ind w:firstLine="851"/>
        <w:jc w:val="both"/>
        <w:rPr>
          <w:rFonts w:ascii="Times New Roman" w:hAnsi="Times New Roman" w:cs="Times New Roman"/>
          <w:bCs/>
          <w:sz w:val="28"/>
          <w:szCs w:val="28"/>
          <w:lang w:val="uk-UA"/>
        </w:rPr>
      </w:pPr>
      <w:r w:rsidRPr="00166123">
        <w:rPr>
          <w:rFonts w:ascii="Times New Roman" w:hAnsi="Times New Roman" w:cs="Times New Roman"/>
          <w:bCs/>
          <w:sz w:val="28"/>
          <w:szCs w:val="28"/>
          <w:lang w:val="uk-UA"/>
        </w:rPr>
        <w:t>В більшості випадків в кожному індустріальному парку діє власна окрема керуюча компанія.</w:t>
      </w:r>
    </w:p>
    <w:p w:rsidR="00C62AA9" w:rsidRPr="00166123" w:rsidRDefault="00166123" w:rsidP="00166123">
      <w:pPr>
        <w:spacing w:after="0" w:line="240" w:lineRule="auto"/>
        <w:ind w:firstLine="851"/>
        <w:jc w:val="both"/>
        <w:rPr>
          <w:rFonts w:ascii="Times New Roman" w:hAnsi="Times New Roman" w:cs="Times New Roman"/>
          <w:bCs/>
          <w:sz w:val="28"/>
          <w:szCs w:val="28"/>
          <w:lang w:val="uk-UA"/>
        </w:rPr>
      </w:pPr>
      <w:r w:rsidRPr="00166123">
        <w:rPr>
          <w:rFonts w:ascii="Times New Roman" w:hAnsi="Times New Roman" w:cs="Times New Roman"/>
          <w:bCs/>
          <w:sz w:val="28"/>
          <w:szCs w:val="28"/>
          <w:lang w:val="uk-UA"/>
        </w:rPr>
        <w:t>Водночас, існує практика, коли керуюча компанія</w:t>
      </w:r>
      <w:r>
        <w:rPr>
          <w:rFonts w:ascii="Times New Roman" w:hAnsi="Times New Roman" w:cs="Times New Roman"/>
          <w:bCs/>
          <w:sz w:val="28"/>
          <w:szCs w:val="28"/>
          <w:lang w:val="uk-UA"/>
        </w:rPr>
        <w:t xml:space="preserve"> </w:t>
      </w:r>
      <w:r w:rsidRPr="00166123">
        <w:rPr>
          <w:rFonts w:ascii="Times New Roman" w:hAnsi="Times New Roman" w:cs="Times New Roman"/>
          <w:bCs/>
          <w:sz w:val="28"/>
          <w:szCs w:val="28"/>
          <w:lang w:val="uk-UA"/>
        </w:rPr>
        <w:t>обслуговує декілька індустріальних парків.</w:t>
      </w:r>
    </w:p>
    <w:p w:rsidR="00166123" w:rsidRDefault="00166123" w:rsidP="00B47DEA">
      <w:pPr>
        <w:spacing w:after="0" w:line="240" w:lineRule="auto"/>
        <w:ind w:firstLine="851"/>
        <w:jc w:val="both"/>
        <w:rPr>
          <w:rFonts w:ascii="Times New Roman" w:hAnsi="Times New Roman" w:cs="Times New Roman"/>
          <w:b/>
          <w:bCs/>
          <w:sz w:val="28"/>
          <w:szCs w:val="28"/>
          <w:lang w:val="uk-UA"/>
        </w:rPr>
      </w:pPr>
    </w:p>
    <w:p w:rsidR="00166123" w:rsidRPr="00DB5E76" w:rsidRDefault="00166123" w:rsidP="00B47DEA">
      <w:pPr>
        <w:spacing w:after="0" w:line="240" w:lineRule="auto"/>
        <w:ind w:firstLine="851"/>
        <w:jc w:val="both"/>
        <w:rPr>
          <w:rFonts w:ascii="Times New Roman" w:hAnsi="Times New Roman" w:cs="Times New Roman"/>
          <w:b/>
          <w:bCs/>
          <w:sz w:val="28"/>
          <w:szCs w:val="28"/>
          <w:lang w:val="uk-UA"/>
        </w:rPr>
      </w:pPr>
    </w:p>
    <w:p w:rsidR="00456351" w:rsidRPr="00DB5E76" w:rsidRDefault="00456351" w:rsidP="00456351">
      <w:pPr>
        <w:spacing w:after="0" w:line="240" w:lineRule="auto"/>
        <w:ind w:firstLine="851"/>
        <w:rPr>
          <w:rFonts w:ascii="Times New Roman" w:hAnsi="Times New Roman" w:cs="Times New Roman"/>
          <w:sz w:val="28"/>
          <w:szCs w:val="28"/>
          <w:lang w:val="uk-UA"/>
        </w:rPr>
      </w:pPr>
      <w:r w:rsidRPr="00DB5E76">
        <w:rPr>
          <w:rFonts w:ascii="Times New Roman" w:hAnsi="Times New Roman" w:cs="Times New Roman"/>
          <w:sz w:val="28"/>
          <w:szCs w:val="28"/>
          <w:lang w:val="uk-UA"/>
        </w:rPr>
        <w:t>1. До об’єктів, що можуть розміщуватися на території індустріального парку належать:</w:t>
      </w:r>
    </w:p>
    <w:p w:rsidR="00456351" w:rsidRPr="00DB5E76" w:rsidRDefault="00456351" w:rsidP="00456351">
      <w:pPr>
        <w:spacing w:after="0" w:line="240" w:lineRule="auto"/>
        <w:ind w:firstLine="851"/>
        <w:rPr>
          <w:rFonts w:ascii="Times New Roman" w:hAnsi="Times New Roman" w:cs="Times New Roman"/>
          <w:sz w:val="28"/>
          <w:szCs w:val="28"/>
          <w:lang w:val="uk-UA"/>
        </w:rPr>
      </w:pPr>
      <w:bookmarkStart w:id="3" w:name="n418"/>
      <w:bookmarkEnd w:id="3"/>
      <w:r w:rsidRPr="00DB5E76">
        <w:rPr>
          <w:rFonts w:ascii="Times New Roman" w:hAnsi="Times New Roman" w:cs="Times New Roman"/>
          <w:sz w:val="28"/>
          <w:szCs w:val="28"/>
          <w:lang w:val="uk-UA"/>
        </w:rPr>
        <w:t>1) офіси керуючої компанії, учасників та інших суб’єктів індустріального парку, фінансові установи, об’єкти маркетингу та реклами;</w:t>
      </w:r>
    </w:p>
    <w:p w:rsidR="00456351" w:rsidRPr="00DB5E76" w:rsidRDefault="00456351" w:rsidP="00456351">
      <w:pPr>
        <w:spacing w:after="0" w:line="240" w:lineRule="auto"/>
        <w:ind w:firstLine="851"/>
        <w:rPr>
          <w:rFonts w:ascii="Times New Roman" w:hAnsi="Times New Roman" w:cs="Times New Roman"/>
          <w:sz w:val="28"/>
          <w:szCs w:val="28"/>
          <w:lang w:val="uk-UA"/>
        </w:rPr>
      </w:pPr>
      <w:bookmarkStart w:id="4" w:name="n419"/>
      <w:bookmarkEnd w:id="4"/>
      <w:r w:rsidRPr="00DB5E76">
        <w:rPr>
          <w:rFonts w:ascii="Times New Roman" w:hAnsi="Times New Roman" w:cs="Times New Roman"/>
          <w:sz w:val="28"/>
          <w:szCs w:val="28"/>
          <w:lang w:val="uk-UA"/>
        </w:rPr>
        <w:t xml:space="preserve">2) заклади дошкільної освіти, заклади загальної середньої освіти, заклади вищої, фахової </w:t>
      </w:r>
      <w:proofErr w:type="spellStart"/>
      <w:r w:rsidRPr="00DB5E76">
        <w:rPr>
          <w:rFonts w:ascii="Times New Roman" w:hAnsi="Times New Roman" w:cs="Times New Roman"/>
          <w:sz w:val="28"/>
          <w:szCs w:val="28"/>
          <w:lang w:val="uk-UA"/>
        </w:rPr>
        <w:t>передвищої</w:t>
      </w:r>
      <w:proofErr w:type="spellEnd"/>
      <w:r w:rsidRPr="00DB5E76">
        <w:rPr>
          <w:rFonts w:ascii="Times New Roman" w:hAnsi="Times New Roman" w:cs="Times New Roman"/>
          <w:sz w:val="28"/>
          <w:szCs w:val="28"/>
          <w:lang w:val="uk-UA"/>
        </w:rPr>
        <w:t xml:space="preserve"> та професійної (професійно-технічної) освіти;</w:t>
      </w:r>
    </w:p>
    <w:p w:rsidR="00456351" w:rsidRPr="00DB5E76" w:rsidRDefault="00456351" w:rsidP="00456351">
      <w:pPr>
        <w:spacing w:after="0" w:line="240" w:lineRule="auto"/>
        <w:ind w:firstLine="851"/>
        <w:rPr>
          <w:rFonts w:ascii="Times New Roman" w:hAnsi="Times New Roman" w:cs="Times New Roman"/>
          <w:sz w:val="28"/>
          <w:szCs w:val="28"/>
          <w:lang w:val="uk-UA"/>
        </w:rPr>
      </w:pPr>
      <w:bookmarkStart w:id="5" w:name="n420"/>
      <w:bookmarkEnd w:id="5"/>
      <w:r w:rsidRPr="00DB5E76">
        <w:rPr>
          <w:rFonts w:ascii="Times New Roman" w:hAnsi="Times New Roman" w:cs="Times New Roman"/>
          <w:sz w:val="28"/>
          <w:szCs w:val="28"/>
          <w:lang w:val="uk-UA"/>
        </w:rPr>
        <w:t>3) наукові парки, акселератори, лабораторії з розвитку інноваційних технологій;</w:t>
      </w:r>
    </w:p>
    <w:p w:rsidR="00456351" w:rsidRPr="00DB5E76" w:rsidRDefault="00456351" w:rsidP="00456351">
      <w:pPr>
        <w:spacing w:after="0" w:line="240" w:lineRule="auto"/>
        <w:ind w:firstLine="851"/>
        <w:rPr>
          <w:rFonts w:ascii="Times New Roman" w:hAnsi="Times New Roman" w:cs="Times New Roman"/>
          <w:sz w:val="28"/>
          <w:szCs w:val="28"/>
          <w:lang w:val="uk-UA"/>
        </w:rPr>
      </w:pPr>
      <w:bookmarkStart w:id="6" w:name="n421"/>
      <w:bookmarkEnd w:id="6"/>
      <w:r w:rsidRPr="00DB5E76">
        <w:rPr>
          <w:rFonts w:ascii="Times New Roman" w:hAnsi="Times New Roman" w:cs="Times New Roman"/>
          <w:sz w:val="28"/>
          <w:szCs w:val="28"/>
          <w:lang w:val="uk-UA"/>
        </w:rPr>
        <w:t>4) багатоцільові зали для проведення наукових конференцій та інших заходів;</w:t>
      </w:r>
    </w:p>
    <w:p w:rsidR="00456351" w:rsidRPr="00DB5E76" w:rsidRDefault="00456351" w:rsidP="00456351">
      <w:pPr>
        <w:spacing w:after="0" w:line="240" w:lineRule="auto"/>
        <w:ind w:firstLine="851"/>
        <w:rPr>
          <w:rFonts w:ascii="Times New Roman" w:hAnsi="Times New Roman" w:cs="Times New Roman"/>
          <w:sz w:val="28"/>
          <w:szCs w:val="28"/>
          <w:lang w:val="uk-UA"/>
        </w:rPr>
      </w:pPr>
      <w:bookmarkStart w:id="7" w:name="n422"/>
      <w:bookmarkEnd w:id="7"/>
      <w:r w:rsidRPr="00DB5E76">
        <w:rPr>
          <w:rFonts w:ascii="Times New Roman" w:hAnsi="Times New Roman" w:cs="Times New Roman"/>
          <w:sz w:val="28"/>
          <w:szCs w:val="28"/>
          <w:lang w:val="uk-UA"/>
        </w:rPr>
        <w:t>5) пожежні частини;</w:t>
      </w:r>
    </w:p>
    <w:p w:rsidR="00456351" w:rsidRPr="00DB5E76" w:rsidRDefault="00456351" w:rsidP="00456351">
      <w:pPr>
        <w:spacing w:after="0" w:line="240" w:lineRule="auto"/>
        <w:ind w:firstLine="851"/>
        <w:rPr>
          <w:rFonts w:ascii="Times New Roman" w:hAnsi="Times New Roman" w:cs="Times New Roman"/>
          <w:sz w:val="28"/>
          <w:szCs w:val="28"/>
          <w:lang w:val="uk-UA"/>
        </w:rPr>
      </w:pPr>
      <w:bookmarkStart w:id="8" w:name="n423"/>
      <w:bookmarkEnd w:id="8"/>
      <w:r w:rsidRPr="00DB5E76">
        <w:rPr>
          <w:rFonts w:ascii="Times New Roman" w:hAnsi="Times New Roman" w:cs="Times New Roman"/>
          <w:sz w:val="28"/>
          <w:szCs w:val="28"/>
          <w:lang w:val="uk-UA"/>
        </w:rPr>
        <w:t>6) озеленені території;</w:t>
      </w:r>
    </w:p>
    <w:p w:rsidR="00456351" w:rsidRPr="00DB5E76" w:rsidRDefault="00456351" w:rsidP="00456351">
      <w:pPr>
        <w:spacing w:after="0" w:line="240" w:lineRule="auto"/>
        <w:ind w:firstLine="851"/>
        <w:rPr>
          <w:rFonts w:ascii="Times New Roman" w:hAnsi="Times New Roman" w:cs="Times New Roman"/>
          <w:sz w:val="28"/>
          <w:szCs w:val="28"/>
          <w:lang w:val="uk-UA"/>
        </w:rPr>
      </w:pPr>
      <w:bookmarkStart w:id="9" w:name="n424"/>
      <w:bookmarkEnd w:id="9"/>
      <w:r w:rsidRPr="00DB5E76">
        <w:rPr>
          <w:rFonts w:ascii="Times New Roman" w:hAnsi="Times New Roman" w:cs="Times New Roman"/>
          <w:sz w:val="28"/>
          <w:szCs w:val="28"/>
          <w:lang w:val="uk-UA"/>
        </w:rPr>
        <w:lastRenderedPageBreak/>
        <w:t>7) виробничі, складські будівлі та споруди, об’єкти логістичної інфраструктури;</w:t>
      </w:r>
    </w:p>
    <w:p w:rsidR="00456351" w:rsidRPr="00DB5E76" w:rsidRDefault="00456351" w:rsidP="00456351">
      <w:pPr>
        <w:spacing w:after="0" w:line="240" w:lineRule="auto"/>
        <w:ind w:firstLine="851"/>
        <w:rPr>
          <w:rFonts w:ascii="Times New Roman" w:hAnsi="Times New Roman" w:cs="Times New Roman"/>
          <w:sz w:val="28"/>
          <w:szCs w:val="28"/>
          <w:lang w:val="uk-UA"/>
        </w:rPr>
      </w:pPr>
      <w:bookmarkStart w:id="10" w:name="n425"/>
      <w:bookmarkEnd w:id="10"/>
      <w:r w:rsidRPr="00DB5E76">
        <w:rPr>
          <w:rFonts w:ascii="Times New Roman" w:hAnsi="Times New Roman" w:cs="Times New Roman"/>
          <w:sz w:val="28"/>
          <w:szCs w:val="28"/>
          <w:lang w:val="uk-UA"/>
        </w:rPr>
        <w:t>8) інженерні будівлі та споруди;</w:t>
      </w:r>
    </w:p>
    <w:p w:rsidR="00456351" w:rsidRPr="00DB5E76" w:rsidRDefault="00456351" w:rsidP="00456351">
      <w:pPr>
        <w:spacing w:after="0" w:line="240" w:lineRule="auto"/>
        <w:ind w:firstLine="851"/>
        <w:rPr>
          <w:rFonts w:ascii="Times New Roman" w:hAnsi="Times New Roman" w:cs="Times New Roman"/>
          <w:sz w:val="28"/>
          <w:szCs w:val="28"/>
          <w:lang w:val="uk-UA"/>
        </w:rPr>
      </w:pPr>
      <w:bookmarkStart w:id="11" w:name="n426"/>
      <w:bookmarkEnd w:id="11"/>
      <w:r w:rsidRPr="00DB5E76">
        <w:rPr>
          <w:rFonts w:ascii="Times New Roman" w:hAnsi="Times New Roman" w:cs="Times New Roman"/>
          <w:sz w:val="28"/>
          <w:szCs w:val="28"/>
          <w:lang w:val="uk-UA"/>
        </w:rPr>
        <w:t>9) об’єкти поводження з відходами (крім захоронення відходів);</w:t>
      </w:r>
    </w:p>
    <w:p w:rsidR="00456351" w:rsidRPr="00DB5E76" w:rsidRDefault="00456351" w:rsidP="00456351">
      <w:pPr>
        <w:spacing w:after="0" w:line="240" w:lineRule="auto"/>
        <w:ind w:firstLine="851"/>
        <w:rPr>
          <w:rFonts w:ascii="Times New Roman" w:hAnsi="Times New Roman" w:cs="Times New Roman"/>
          <w:sz w:val="28"/>
          <w:szCs w:val="28"/>
          <w:lang w:val="uk-UA"/>
        </w:rPr>
      </w:pPr>
      <w:bookmarkStart w:id="12" w:name="n427"/>
      <w:bookmarkEnd w:id="12"/>
      <w:r w:rsidRPr="00DB5E76">
        <w:rPr>
          <w:rFonts w:ascii="Times New Roman" w:hAnsi="Times New Roman" w:cs="Times New Roman"/>
          <w:sz w:val="28"/>
          <w:szCs w:val="28"/>
          <w:lang w:val="uk-UA"/>
        </w:rPr>
        <w:t>10) інші об’єкти, не заборонені законодавством.</w:t>
      </w:r>
    </w:p>
    <w:p w:rsidR="00456351" w:rsidRPr="00DB5E76" w:rsidRDefault="00456351" w:rsidP="00456351">
      <w:pPr>
        <w:spacing w:after="0" w:line="240" w:lineRule="auto"/>
        <w:ind w:firstLine="851"/>
        <w:jc w:val="both"/>
        <w:rPr>
          <w:rFonts w:ascii="Times New Roman" w:hAnsi="Times New Roman" w:cs="Times New Roman"/>
          <w:sz w:val="28"/>
          <w:szCs w:val="28"/>
          <w:lang w:val="uk-UA"/>
        </w:rPr>
      </w:pPr>
    </w:p>
    <w:p w:rsidR="00550B5A" w:rsidRPr="00DB5E76" w:rsidRDefault="00550B5A" w:rsidP="005D4CB6">
      <w:pPr>
        <w:pStyle w:val="11"/>
      </w:pPr>
      <w:bookmarkStart w:id="13" w:name="_Toc112939804"/>
      <w:r w:rsidRPr="00DB5E76">
        <w:t>3. Класифікація індустріальних парків</w:t>
      </w:r>
      <w:bookmarkEnd w:id="13"/>
    </w:p>
    <w:p w:rsidR="00550B5A" w:rsidRPr="00DB5E76" w:rsidRDefault="00550B5A" w:rsidP="00456351">
      <w:pPr>
        <w:spacing w:after="0" w:line="240" w:lineRule="auto"/>
        <w:ind w:firstLine="851"/>
        <w:jc w:val="both"/>
        <w:rPr>
          <w:rFonts w:ascii="Times New Roman" w:hAnsi="Times New Roman" w:cs="Times New Roman"/>
          <w:sz w:val="28"/>
          <w:szCs w:val="28"/>
          <w:lang w:val="uk-UA"/>
        </w:rPr>
      </w:pPr>
    </w:p>
    <w:p w:rsidR="00550B5A" w:rsidRPr="00DB5E76" w:rsidRDefault="00DF644E" w:rsidP="00456351">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Проведений більш детальний аналіз основних характеристик індустріальних парків дозволив виділити ряд класифікаційних ознак та згрупувати основні види ІП </w:t>
      </w:r>
    </w:p>
    <w:p w:rsidR="00BF023B" w:rsidRPr="00DB5E76" w:rsidRDefault="00DF644E" w:rsidP="00456351">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Серед ІД існує поділ </w:t>
      </w:r>
      <w:r w:rsidRPr="00DB5E76">
        <w:rPr>
          <w:rFonts w:ascii="Times New Roman" w:hAnsi="Times New Roman" w:cs="Times New Roman"/>
          <w:i/>
          <w:sz w:val="28"/>
          <w:szCs w:val="28"/>
          <w:lang w:val="uk-UA"/>
        </w:rPr>
        <w:t>за типом виробничих майданчиків</w:t>
      </w:r>
      <w:r w:rsidRPr="00DB5E76">
        <w:rPr>
          <w:rFonts w:ascii="Times New Roman" w:hAnsi="Times New Roman" w:cs="Times New Roman"/>
          <w:sz w:val="28"/>
          <w:szCs w:val="28"/>
          <w:lang w:val="uk-UA"/>
        </w:rPr>
        <w:t xml:space="preserve">. Так </w:t>
      </w:r>
      <w:proofErr w:type="spellStart"/>
      <w:r w:rsidRPr="00DB5E76">
        <w:rPr>
          <w:rFonts w:ascii="Times New Roman" w:hAnsi="Times New Roman" w:cs="Times New Roman"/>
          <w:i/>
          <w:sz w:val="28"/>
          <w:szCs w:val="28"/>
          <w:lang w:val="uk-UA"/>
        </w:rPr>
        <w:t>грінфілд</w:t>
      </w:r>
      <w:proofErr w:type="spellEnd"/>
      <w:r w:rsidRPr="00DB5E76">
        <w:rPr>
          <w:rFonts w:ascii="Times New Roman" w:hAnsi="Times New Roman" w:cs="Times New Roman"/>
          <w:sz w:val="28"/>
          <w:szCs w:val="28"/>
          <w:lang w:val="uk-UA"/>
        </w:rPr>
        <w:t xml:space="preserve"> – це нові парки, побудовані з нуля, а </w:t>
      </w:r>
      <w:proofErr w:type="spellStart"/>
      <w:r w:rsidRPr="00DB5E76">
        <w:rPr>
          <w:rFonts w:ascii="Times New Roman" w:hAnsi="Times New Roman" w:cs="Times New Roman"/>
          <w:i/>
          <w:sz w:val="28"/>
          <w:szCs w:val="28"/>
          <w:lang w:val="uk-UA"/>
        </w:rPr>
        <w:t>браунфілд</w:t>
      </w:r>
      <w:proofErr w:type="spellEnd"/>
      <w:r w:rsidRPr="00DB5E76">
        <w:rPr>
          <w:rFonts w:ascii="Times New Roman" w:hAnsi="Times New Roman" w:cs="Times New Roman"/>
          <w:i/>
          <w:sz w:val="28"/>
          <w:szCs w:val="28"/>
          <w:lang w:val="uk-UA"/>
        </w:rPr>
        <w:t xml:space="preserve"> </w:t>
      </w:r>
      <w:r w:rsidRPr="00DB5E76">
        <w:rPr>
          <w:rFonts w:ascii="Times New Roman" w:hAnsi="Times New Roman" w:cs="Times New Roman"/>
          <w:sz w:val="28"/>
          <w:szCs w:val="28"/>
          <w:lang w:val="uk-UA"/>
        </w:rPr>
        <w:t xml:space="preserve">– це старі, що виникли на місці колишніх промислових зон. </w:t>
      </w:r>
    </w:p>
    <w:p w:rsidR="00BF023B" w:rsidRPr="00DB5E76" w:rsidRDefault="00DF644E" w:rsidP="00456351">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На думку фахівців, ІП типу </w:t>
      </w:r>
      <w:proofErr w:type="spellStart"/>
      <w:r w:rsidRPr="00DB5E76">
        <w:rPr>
          <w:rFonts w:ascii="Times New Roman" w:hAnsi="Times New Roman" w:cs="Times New Roman"/>
          <w:sz w:val="28"/>
          <w:szCs w:val="28"/>
          <w:lang w:val="uk-UA"/>
        </w:rPr>
        <w:t>грінфілд</w:t>
      </w:r>
      <w:proofErr w:type="spellEnd"/>
      <w:r w:rsidRPr="00DB5E76">
        <w:rPr>
          <w:rFonts w:ascii="Times New Roman" w:hAnsi="Times New Roman" w:cs="Times New Roman"/>
          <w:sz w:val="28"/>
          <w:szCs w:val="28"/>
          <w:lang w:val="uk-UA"/>
        </w:rPr>
        <w:t xml:space="preserve"> будуть привабливими переважно для великих компаній, що шукають площі для забудови промисловими спорудами під свої специфічні потреби. До таких парків найчастіше залучають іноземних інвесторів. Так до індустріального парку Львівщини Рясне-2 типу </w:t>
      </w:r>
      <w:proofErr w:type="spellStart"/>
      <w:r w:rsidRPr="00DB5E76">
        <w:rPr>
          <w:rFonts w:ascii="Times New Roman" w:hAnsi="Times New Roman" w:cs="Times New Roman"/>
          <w:sz w:val="28"/>
          <w:szCs w:val="28"/>
          <w:lang w:val="uk-UA"/>
        </w:rPr>
        <w:t>грінфілд</w:t>
      </w:r>
      <w:proofErr w:type="spellEnd"/>
      <w:r w:rsidRPr="00DB5E76">
        <w:rPr>
          <w:rFonts w:ascii="Times New Roman" w:hAnsi="Times New Roman" w:cs="Times New Roman"/>
          <w:sz w:val="28"/>
          <w:szCs w:val="28"/>
          <w:lang w:val="uk-UA"/>
        </w:rPr>
        <w:t xml:space="preserve"> в </w:t>
      </w:r>
      <w:proofErr w:type="spellStart"/>
      <w:r w:rsidRPr="00DB5E76">
        <w:rPr>
          <w:rFonts w:ascii="Times New Roman" w:hAnsi="Times New Roman" w:cs="Times New Roman"/>
          <w:sz w:val="28"/>
          <w:szCs w:val="28"/>
          <w:lang w:val="uk-UA"/>
        </w:rPr>
        <w:t>найблищій</w:t>
      </w:r>
      <w:proofErr w:type="spellEnd"/>
      <w:r w:rsidRPr="00DB5E76">
        <w:rPr>
          <w:rFonts w:ascii="Times New Roman" w:hAnsi="Times New Roman" w:cs="Times New Roman"/>
          <w:sz w:val="28"/>
          <w:szCs w:val="28"/>
          <w:lang w:val="uk-UA"/>
        </w:rPr>
        <w:t xml:space="preserve"> перспективі планується залучити інвестиції японської компанії </w:t>
      </w:r>
      <w:proofErr w:type="spellStart"/>
      <w:r w:rsidRPr="00DB5E76">
        <w:rPr>
          <w:rFonts w:ascii="Times New Roman" w:hAnsi="Times New Roman" w:cs="Times New Roman"/>
          <w:sz w:val="28"/>
          <w:szCs w:val="28"/>
          <w:lang w:val="uk-UA"/>
        </w:rPr>
        <w:t>Fujikura</w:t>
      </w:r>
      <w:proofErr w:type="spellEnd"/>
      <w:r w:rsidRPr="00DB5E76">
        <w:rPr>
          <w:rFonts w:ascii="Times New Roman" w:hAnsi="Times New Roman" w:cs="Times New Roman"/>
          <w:sz w:val="28"/>
          <w:szCs w:val="28"/>
          <w:lang w:val="uk-UA"/>
        </w:rPr>
        <w:t xml:space="preserve">, що спеціалізується на виробництві автомобільної електропроводки. Сума інвестицій японської компанії в Україні становитиме 75 млн </w:t>
      </w:r>
      <w:proofErr w:type="spellStart"/>
      <w:r w:rsidRPr="00DB5E76">
        <w:rPr>
          <w:rFonts w:ascii="Times New Roman" w:hAnsi="Times New Roman" w:cs="Times New Roman"/>
          <w:sz w:val="28"/>
          <w:szCs w:val="28"/>
          <w:lang w:val="uk-UA"/>
        </w:rPr>
        <w:t>дол</w:t>
      </w:r>
      <w:proofErr w:type="spellEnd"/>
      <w:r w:rsidRPr="00DB5E76">
        <w:rPr>
          <w:rFonts w:ascii="Times New Roman" w:hAnsi="Times New Roman" w:cs="Times New Roman"/>
          <w:sz w:val="28"/>
          <w:szCs w:val="28"/>
          <w:lang w:val="uk-UA"/>
        </w:rPr>
        <w:t xml:space="preserve">. США та 3 тисячі робочих місць. </w:t>
      </w:r>
    </w:p>
    <w:p w:rsidR="00BF023B" w:rsidRPr="00DB5E76" w:rsidRDefault="00DF644E" w:rsidP="00456351">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Щодо ІП типу </w:t>
      </w:r>
      <w:proofErr w:type="spellStart"/>
      <w:r w:rsidRPr="00DB5E76">
        <w:rPr>
          <w:rFonts w:ascii="Times New Roman" w:hAnsi="Times New Roman" w:cs="Times New Roman"/>
          <w:sz w:val="28"/>
          <w:szCs w:val="28"/>
          <w:lang w:val="uk-UA"/>
        </w:rPr>
        <w:t>браунфілд</w:t>
      </w:r>
      <w:proofErr w:type="spellEnd"/>
      <w:r w:rsidRPr="00DB5E76">
        <w:rPr>
          <w:rFonts w:ascii="Times New Roman" w:hAnsi="Times New Roman" w:cs="Times New Roman"/>
          <w:sz w:val="28"/>
          <w:szCs w:val="28"/>
          <w:lang w:val="uk-UA"/>
        </w:rPr>
        <w:t xml:space="preserve"> то це найчастіше приватні індустріальні парки, що уже мають певну інфраструктуру, що вибудувалась протягом останнього часу. Вони викликають інтерес у невеликих компаній, виробничі комплекси яких можуть розміщуватися у стандартних приміщеннях. </w:t>
      </w:r>
    </w:p>
    <w:p w:rsidR="00DF644E" w:rsidRPr="00DB5E76" w:rsidRDefault="00DF644E" w:rsidP="00456351">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За </w:t>
      </w:r>
      <w:r w:rsidRPr="00DB5E76">
        <w:rPr>
          <w:rFonts w:ascii="Times New Roman" w:hAnsi="Times New Roman" w:cs="Times New Roman"/>
          <w:i/>
          <w:sz w:val="28"/>
          <w:szCs w:val="28"/>
          <w:lang w:val="uk-UA"/>
        </w:rPr>
        <w:t>правом власності ІП</w:t>
      </w:r>
      <w:r w:rsidRPr="00DB5E76">
        <w:rPr>
          <w:rFonts w:ascii="Times New Roman" w:hAnsi="Times New Roman" w:cs="Times New Roman"/>
          <w:sz w:val="28"/>
          <w:szCs w:val="28"/>
          <w:lang w:val="uk-UA"/>
        </w:rPr>
        <w:t xml:space="preserve"> поділяють на </w:t>
      </w:r>
      <w:r w:rsidRPr="00DB5E76">
        <w:rPr>
          <w:rFonts w:ascii="Times New Roman" w:hAnsi="Times New Roman" w:cs="Times New Roman"/>
          <w:i/>
          <w:sz w:val="28"/>
          <w:szCs w:val="28"/>
          <w:lang w:val="uk-UA"/>
        </w:rPr>
        <w:t>муніципальна та приватні</w:t>
      </w:r>
      <w:r w:rsidRPr="00DB5E76">
        <w:rPr>
          <w:rFonts w:ascii="Times New Roman" w:hAnsi="Times New Roman" w:cs="Times New Roman"/>
          <w:sz w:val="28"/>
          <w:szCs w:val="28"/>
          <w:lang w:val="uk-UA"/>
        </w:rPr>
        <w:t>. Найбільш ефективними є муніципальні, основною ціллю яких є не отримання прибутку від проекту, чи оренди землі, а залучення інвесторів, що згодом сплачуватимуть податки та створюватимуть нові робочі місця. Приватні ІП часто мають спекулятивних характер. Вони повинні повернути вкладені в інфраструктуру кошти, тому ціни на послуги у них, як правило, є вищими. До таких парків ставляться вищі вимоги щодо рівня ефективності діяльності суб’єктів господарювання. Для України на даному етапі розвитку найбільш прийнятними є муніципальні ІП.</w:t>
      </w:r>
    </w:p>
    <w:p w:rsidR="00975909" w:rsidRPr="00DB5E76" w:rsidRDefault="00975909"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За </w:t>
      </w:r>
      <w:r w:rsidRPr="00DB5E76">
        <w:rPr>
          <w:rFonts w:ascii="Times New Roman" w:hAnsi="Times New Roman" w:cs="Times New Roman"/>
          <w:i/>
          <w:sz w:val="28"/>
          <w:szCs w:val="28"/>
          <w:lang w:val="uk-UA"/>
        </w:rPr>
        <w:t>галузевою структурою ІП</w:t>
      </w:r>
      <w:r w:rsidRPr="00DB5E76">
        <w:rPr>
          <w:rFonts w:ascii="Times New Roman" w:hAnsi="Times New Roman" w:cs="Times New Roman"/>
          <w:sz w:val="28"/>
          <w:szCs w:val="28"/>
          <w:lang w:val="uk-UA"/>
        </w:rPr>
        <w:t xml:space="preserve"> розділяють на </w:t>
      </w:r>
      <w:r w:rsidRPr="00DB5E76">
        <w:rPr>
          <w:rFonts w:ascii="Times New Roman" w:hAnsi="Times New Roman" w:cs="Times New Roman"/>
          <w:i/>
          <w:sz w:val="28"/>
          <w:szCs w:val="28"/>
          <w:lang w:val="uk-UA"/>
        </w:rPr>
        <w:t>універсальні та спеціалізовані</w:t>
      </w:r>
      <w:r w:rsidRPr="00DB5E76">
        <w:rPr>
          <w:rFonts w:ascii="Times New Roman" w:hAnsi="Times New Roman" w:cs="Times New Roman"/>
          <w:sz w:val="28"/>
          <w:szCs w:val="28"/>
          <w:lang w:val="uk-UA"/>
        </w:rPr>
        <w:t>. Серед резидентів універсальних парків підприємства різних компаній, що не пов’язані між собою технологічними процесами. Єдиним критерієм є те, що підприємства не повинні вступати в протиріччя в плані екології. Спеціалізовані парки, в свою чергу, бувають двох видів. Згідно першого виду – один якірний резидент підбирає під себе компанії з супутнім бізнесом, згідно другого – відбувається інтеграція незалежних один від одного компаній, що працюють в одній галузі.</w:t>
      </w:r>
    </w:p>
    <w:p w:rsidR="00767306" w:rsidRPr="00DB5E76" w:rsidRDefault="00767306" w:rsidP="00767306">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За </w:t>
      </w:r>
      <w:r w:rsidRPr="00DB5E76">
        <w:rPr>
          <w:rFonts w:ascii="Times New Roman" w:hAnsi="Times New Roman" w:cs="Times New Roman"/>
          <w:i/>
          <w:sz w:val="28"/>
          <w:szCs w:val="28"/>
          <w:lang w:val="uk-UA"/>
        </w:rPr>
        <w:t>регіональною приналежністю</w:t>
      </w:r>
      <w:r w:rsidRPr="00DB5E76">
        <w:rPr>
          <w:rFonts w:ascii="Times New Roman" w:hAnsi="Times New Roman" w:cs="Times New Roman"/>
          <w:sz w:val="28"/>
          <w:szCs w:val="28"/>
          <w:lang w:val="uk-UA"/>
        </w:rPr>
        <w:t xml:space="preserve"> розрізняють індустріальні парки в межах одного муніципалітету та міжмуніципальні.</w:t>
      </w:r>
    </w:p>
    <w:p w:rsidR="00767306" w:rsidRPr="00DB5E76" w:rsidRDefault="00767306" w:rsidP="00767306">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lastRenderedPageBreak/>
        <w:t xml:space="preserve">На основі </w:t>
      </w:r>
      <w:r w:rsidRPr="00DB5E76">
        <w:rPr>
          <w:rFonts w:ascii="Times New Roman" w:hAnsi="Times New Roman" w:cs="Times New Roman"/>
          <w:i/>
          <w:sz w:val="28"/>
          <w:szCs w:val="28"/>
          <w:lang w:val="uk-UA"/>
        </w:rPr>
        <w:t>моделей управління</w:t>
      </w:r>
      <w:r w:rsidRPr="00DB5E76">
        <w:rPr>
          <w:rFonts w:ascii="Times New Roman" w:hAnsi="Times New Roman" w:cs="Times New Roman"/>
          <w:sz w:val="28"/>
          <w:szCs w:val="28"/>
          <w:lang w:val="uk-UA"/>
        </w:rPr>
        <w:t xml:space="preserve"> </w:t>
      </w:r>
      <w:r w:rsidRPr="00DB5E76">
        <w:rPr>
          <w:rFonts w:ascii="Times New Roman" w:hAnsi="Times New Roman" w:cs="Times New Roman"/>
          <w:i/>
          <w:sz w:val="28"/>
          <w:szCs w:val="28"/>
          <w:lang w:val="uk-UA"/>
        </w:rPr>
        <w:t>ІП</w:t>
      </w:r>
      <w:r w:rsidRPr="00DB5E76">
        <w:rPr>
          <w:rFonts w:ascii="Times New Roman" w:hAnsi="Times New Roman" w:cs="Times New Roman"/>
          <w:sz w:val="28"/>
          <w:szCs w:val="28"/>
          <w:lang w:val="uk-UA"/>
        </w:rPr>
        <w:t xml:space="preserve"> у світовій практиці функціонування ІП можна виділити дві основні моделі. Згідно першої моделі – управління ІП здійснюється управляючою компанією, що надає підприємствам не лише площадки для розміщення виробництва, але і необхідну інфраструктуру та послуги. Згідно другої моделі – дрібні індустріальні парки не управляються спеціальною компанією, а фірми, що розмістили виробництво на єдиній території, надають усі необхідні послуги та залучають підприємства зі сторони. </w:t>
      </w:r>
    </w:p>
    <w:p w:rsidR="005D358C" w:rsidRPr="00DB5E76" w:rsidRDefault="005D358C" w:rsidP="005D358C">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Розрізняють також ІП </w:t>
      </w:r>
      <w:r w:rsidRPr="00DB5E76">
        <w:rPr>
          <w:rFonts w:ascii="Times New Roman" w:hAnsi="Times New Roman" w:cs="Times New Roman"/>
          <w:i/>
          <w:sz w:val="28"/>
          <w:szCs w:val="28"/>
          <w:lang w:val="uk-UA"/>
        </w:rPr>
        <w:t>за статусом індустріального парку</w:t>
      </w:r>
      <w:r w:rsidRPr="00DB5E76">
        <w:rPr>
          <w:rFonts w:ascii="Times New Roman" w:hAnsi="Times New Roman" w:cs="Times New Roman"/>
          <w:sz w:val="28"/>
          <w:szCs w:val="28"/>
          <w:lang w:val="uk-UA"/>
        </w:rPr>
        <w:t>. Система стимулювання індустріальних парків в Україні передбачає три рівня: не включений до Реєстру індустріальних парків, включений до Реєстру індустріальних парків та зі статусом національного проекту.</w:t>
      </w:r>
    </w:p>
    <w:p w:rsidR="002B3141" w:rsidRDefault="002B3141" w:rsidP="00B47DEA">
      <w:pPr>
        <w:spacing w:after="0" w:line="240" w:lineRule="auto"/>
        <w:ind w:firstLine="851"/>
        <w:jc w:val="both"/>
        <w:rPr>
          <w:rFonts w:ascii="Times New Roman" w:hAnsi="Times New Roman" w:cs="Times New Roman"/>
          <w:sz w:val="28"/>
          <w:szCs w:val="28"/>
          <w:lang w:val="en-US"/>
        </w:rPr>
      </w:pPr>
    </w:p>
    <w:p w:rsidR="00B57B4E" w:rsidRPr="00DB5E76" w:rsidRDefault="00975909"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Система стимулювання першого рівня доступна для всіх індустріальних парків і перед</w:t>
      </w:r>
      <w:r w:rsidR="00B57B4E" w:rsidRPr="00DB5E76">
        <w:rPr>
          <w:rFonts w:ascii="Times New Roman" w:hAnsi="Times New Roman" w:cs="Times New Roman"/>
          <w:sz w:val="28"/>
          <w:szCs w:val="28"/>
          <w:lang w:val="uk-UA"/>
        </w:rPr>
        <w:t xml:space="preserve">бачає такі стимулюючі механізми: </w:t>
      </w:r>
    </w:p>
    <w:p w:rsidR="00B57B4E" w:rsidRPr="00DB5E76" w:rsidRDefault="00975909" w:rsidP="00BF07A0">
      <w:pPr>
        <w:pStyle w:val="a3"/>
        <w:numPr>
          <w:ilvl w:val="0"/>
          <w:numId w:val="8"/>
        </w:numPr>
        <w:ind w:left="0" w:firstLine="851"/>
        <w:jc w:val="both"/>
        <w:rPr>
          <w:sz w:val="28"/>
          <w:szCs w:val="28"/>
          <w:lang w:val="uk-UA"/>
        </w:rPr>
      </w:pPr>
      <w:r w:rsidRPr="00DB5E76">
        <w:rPr>
          <w:sz w:val="28"/>
          <w:szCs w:val="28"/>
          <w:lang w:val="uk-UA"/>
        </w:rPr>
        <w:t xml:space="preserve">спрощена процедура доступу до виробничих площ для ініціатора і/ або керуючої компанії та учасників індустріального парку в межах індустріального парку (набуття прав власності на земельну ділянку державної та комунальної власності) та подальше гарантування прав на земельні ділянки у межах індустріального парку; </w:t>
      </w:r>
    </w:p>
    <w:p w:rsidR="00BF07A0" w:rsidRPr="00DB5E76" w:rsidRDefault="00975909" w:rsidP="00BF07A0">
      <w:pPr>
        <w:pStyle w:val="a3"/>
        <w:numPr>
          <w:ilvl w:val="0"/>
          <w:numId w:val="8"/>
        </w:numPr>
        <w:ind w:left="0" w:firstLine="851"/>
        <w:jc w:val="both"/>
        <w:rPr>
          <w:sz w:val="28"/>
          <w:szCs w:val="28"/>
          <w:lang w:val="uk-UA"/>
        </w:rPr>
      </w:pPr>
      <w:r w:rsidRPr="00DB5E76">
        <w:rPr>
          <w:sz w:val="28"/>
          <w:szCs w:val="28"/>
          <w:lang w:val="uk-UA"/>
        </w:rPr>
        <w:t xml:space="preserve">інформаційно-консультативна підтримка з боку Державного агентства з інвестицій та управління національними проектами України ініціаторів створення індустріальних парків, керуючих компаній та потенційних учасників, представників органів виконавчої влади та місцевого самоврядування, бізнес-середовища щодо умов створення та функціонування, розроблення концепцій індустріальних парків, визначення придатних для створення індустріальних парків земельних ділянок в регіонах України тощо; </w:t>
      </w:r>
    </w:p>
    <w:p w:rsidR="00BF07A0" w:rsidRPr="00DB5E76" w:rsidRDefault="00975909" w:rsidP="00BF07A0">
      <w:pPr>
        <w:pStyle w:val="a3"/>
        <w:numPr>
          <w:ilvl w:val="0"/>
          <w:numId w:val="8"/>
        </w:numPr>
        <w:ind w:left="0" w:firstLine="851"/>
        <w:jc w:val="both"/>
        <w:rPr>
          <w:sz w:val="28"/>
          <w:szCs w:val="28"/>
          <w:lang w:val="uk-UA"/>
        </w:rPr>
      </w:pPr>
      <w:r w:rsidRPr="00DB5E76">
        <w:rPr>
          <w:sz w:val="28"/>
          <w:szCs w:val="28"/>
          <w:lang w:val="uk-UA"/>
        </w:rPr>
        <w:t xml:space="preserve">можливість отримання коштів з державного чи місцевих бюджетів для фінансування комплексу заходів щодо вибору території індустріального парку та її облаштування на землях державної чи комунальної власності. </w:t>
      </w:r>
    </w:p>
    <w:p w:rsidR="00BF07A0" w:rsidRPr="00DB5E76" w:rsidRDefault="00BF07A0" w:rsidP="00B47DEA">
      <w:pPr>
        <w:spacing w:after="0" w:line="240" w:lineRule="auto"/>
        <w:ind w:firstLine="851"/>
        <w:jc w:val="both"/>
        <w:rPr>
          <w:rFonts w:ascii="Times New Roman" w:hAnsi="Times New Roman" w:cs="Times New Roman"/>
          <w:sz w:val="28"/>
          <w:szCs w:val="28"/>
          <w:lang w:val="uk-UA"/>
        </w:rPr>
      </w:pPr>
    </w:p>
    <w:p w:rsidR="00BF07A0" w:rsidRPr="00DB5E76" w:rsidRDefault="00975909"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Система стимулювання другого рівня передбачає додатковий механізм, доступний лише для індустріальних парків, включених до Реєстру індустріальних парків, а саме державну фінансову підтримку. </w:t>
      </w:r>
    </w:p>
    <w:p w:rsidR="00BF07A0" w:rsidRPr="00DB5E76" w:rsidRDefault="00975909"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Учасники індустр</w:t>
      </w:r>
      <w:r w:rsidR="00BF07A0" w:rsidRPr="00DB5E76">
        <w:rPr>
          <w:rFonts w:ascii="Times New Roman" w:hAnsi="Times New Roman" w:cs="Times New Roman"/>
          <w:sz w:val="28"/>
          <w:szCs w:val="28"/>
          <w:lang w:val="uk-UA"/>
        </w:rPr>
        <w:t xml:space="preserve">іального парку </w:t>
      </w:r>
    </w:p>
    <w:p w:rsidR="00BF07A0" w:rsidRPr="00DB5E76" w:rsidRDefault="00BF07A0" w:rsidP="00BF07A0">
      <w:pPr>
        <w:pStyle w:val="a3"/>
        <w:numPr>
          <w:ilvl w:val="0"/>
          <w:numId w:val="8"/>
        </w:numPr>
        <w:ind w:left="0" w:firstLine="851"/>
        <w:jc w:val="both"/>
        <w:rPr>
          <w:sz w:val="28"/>
          <w:szCs w:val="28"/>
          <w:lang w:val="uk-UA"/>
        </w:rPr>
      </w:pPr>
      <w:r w:rsidRPr="00DB5E76">
        <w:rPr>
          <w:sz w:val="28"/>
          <w:szCs w:val="28"/>
          <w:lang w:val="uk-UA"/>
        </w:rPr>
        <w:t xml:space="preserve">звільняться від </w:t>
      </w:r>
      <w:r w:rsidR="00975909" w:rsidRPr="00DB5E76">
        <w:rPr>
          <w:sz w:val="28"/>
          <w:szCs w:val="28"/>
          <w:lang w:val="uk-UA"/>
        </w:rPr>
        <w:t xml:space="preserve">пайової участі у розвитку інфраструктури населених пунктів у разі будівництва об’єктів у межах індустріального парку; </w:t>
      </w:r>
    </w:p>
    <w:p w:rsidR="00BF07A0" w:rsidRPr="00DB5E76" w:rsidRDefault="00975909" w:rsidP="00BF07A0">
      <w:pPr>
        <w:pStyle w:val="a3"/>
        <w:numPr>
          <w:ilvl w:val="0"/>
          <w:numId w:val="8"/>
        </w:numPr>
        <w:ind w:left="0" w:firstLine="851"/>
        <w:jc w:val="both"/>
        <w:rPr>
          <w:sz w:val="28"/>
          <w:szCs w:val="28"/>
          <w:lang w:val="uk-UA"/>
        </w:rPr>
      </w:pPr>
      <w:r w:rsidRPr="00DB5E76">
        <w:rPr>
          <w:sz w:val="28"/>
          <w:szCs w:val="28"/>
          <w:lang w:val="uk-UA"/>
        </w:rPr>
        <w:t xml:space="preserve">сплати ввізного мита за ввезення устаткування, обладнання та комплектуючих до них, що не виробляються в Україні та не є підакцизними товарами, для здійснення господарської діяльності у межах індустріальних парків. </w:t>
      </w:r>
    </w:p>
    <w:p w:rsidR="00BF07A0" w:rsidRPr="00DB5E76" w:rsidRDefault="00975909"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lastRenderedPageBreak/>
        <w:t xml:space="preserve">Керуючі компанії та ініціатори створення – суб’єкти господарювання: </w:t>
      </w:r>
    </w:p>
    <w:p w:rsidR="00BF07A0" w:rsidRPr="00DB5E76" w:rsidRDefault="00975909"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звільняються від пайової участі у розвитку інфраструктури населених пунктів у разі будівництва об’єктів у межах індустріального парку; </w:t>
      </w:r>
    </w:p>
    <w:p w:rsidR="009C1426" w:rsidRPr="00DB5E76" w:rsidRDefault="00975909"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отримують безвідсоткові кредити (позики), цільове фінансування на безповоротній основі для облаштування індустріальних парків; </w:t>
      </w:r>
    </w:p>
    <w:p w:rsidR="009C1426" w:rsidRPr="00DB5E76" w:rsidRDefault="00975909"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звільняються від сплати ввізного мита за ввезення устаткування, обладнання та комплектуючих до них, матеріалів, що не виробляються в Україні та не є підакцизними товарами, для обл</w:t>
      </w:r>
      <w:r w:rsidR="009C1426" w:rsidRPr="00DB5E76">
        <w:rPr>
          <w:rFonts w:ascii="Times New Roman" w:hAnsi="Times New Roman" w:cs="Times New Roman"/>
          <w:sz w:val="28"/>
          <w:szCs w:val="28"/>
          <w:lang w:val="uk-UA"/>
        </w:rPr>
        <w:t>аштування індустріальних парків.</w:t>
      </w:r>
    </w:p>
    <w:p w:rsidR="00FE3D59" w:rsidRDefault="00FE3D59" w:rsidP="00B47DEA">
      <w:pPr>
        <w:spacing w:after="0" w:line="240" w:lineRule="auto"/>
        <w:ind w:firstLine="851"/>
        <w:jc w:val="both"/>
        <w:rPr>
          <w:rFonts w:ascii="Times New Roman" w:hAnsi="Times New Roman" w:cs="Times New Roman"/>
          <w:sz w:val="28"/>
          <w:szCs w:val="28"/>
          <w:lang w:val="en-US"/>
        </w:rPr>
      </w:pPr>
    </w:p>
    <w:p w:rsidR="00975909" w:rsidRPr="00DB5E76" w:rsidRDefault="00975909" w:rsidP="00B47DEA">
      <w:pPr>
        <w:spacing w:after="0" w:line="240" w:lineRule="auto"/>
        <w:ind w:firstLine="851"/>
        <w:jc w:val="both"/>
        <w:rPr>
          <w:rFonts w:ascii="Times New Roman" w:hAnsi="Times New Roman" w:cs="Times New Roman"/>
          <w:sz w:val="28"/>
          <w:szCs w:val="28"/>
          <w:lang w:val="uk-UA"/>
        </w:rPr>
      </w:pPr>
      <w:r w:rsidRPr="00DB5E76">
        <w:rPr>
          <w:rFonts w:ascii="Times New Roman" w:hAnsi="Times New Roman" w:cs="Times New Roman"/>
          <w:sz w:val="28"/>
          <w:szCs w:val="28"/>
          <w:lang w:val="uk-UA"/>
        </w:rPr>
        <w:t xml:space="preserve">Система стимулювання третього рівня </w:t>
      </w:r>
      <w:r w:rsidR="00767306" w:rsidRPr="00DB5E76">
        <w:rPr>
          <w:rFonts w:ascii="Times New Roman" w:hAnsi="Times New Roman" w:cs="Times New Roman"/>
          <w:sz w:val="28"/>
          <w:szCs w:val="28"/>
          <w:lang w:val="uk-UA"/>
        </w:rPr>
        <w:t xml:space="preserve">знаходиться у стані розробки </w:t>
      </w:r>
      <w:r w:rsidRPr="00DB5E76">
        <w:rPr>
          <w:rFonts w:ascii="Times New Roman" w:hAnsi="Times New Roman" w:cs="Times New Roman"/>
          <w:sz w:val="28"/>
          <w:szCs w:val="28"/>
          <w:lang w:val="uk-UA"/>
        </w:rPr>
        <w:t xml:space="preserve">і розповсюджуватиметься лише на індустріальні парки зі статусом національного проекту. Визначається механізм надання індустріальному парку статусу національного проекту. Такий статус отримають індустріальні парки, що матимуть національний масштаб та вирішуватимуть завдання державної ваги. Очікується, що економічні умови для цієї групи індустріальних парків, у </w:t>
      </w:r>
      <w:proofErr w:type="spellStart"/>
      <w:r w:rsidRPr="00DB5E76">
        <w:rPr>
          <w:rFonts w:ascii="Times New Roman" w:hAnsi="Times New Roman" w:cs="Times New Roman"/>
          <w:sz w:val="28"/>
          <w:szCs w:val="28"/>
          <w:lang w:val="uk-UA"/>
        </w:rPr>
        <w:t>т.ч</w:t>
      </w:r>
      <w:proofErr w:type="spellEnd"/>
      <w:r w:rsidRPr="00DB5E76">
        <w:rPr>
          <w:rFonts w:ascii="Times New Roman" w:hAnsi="Times New Roman" w:cs="Times New Roman"/>
          <w:sz w:val="28"/>
          <w:szCs w:val="28"/>
          <w:lang w:val="uk-UA"/>
        </w:rPr>
        <w:t xml:space="preserve">. щодо державної фінансової підтримки, мають включати поряд із визначеними стимулами для індустріальних парків першого і другого рівнів додаткові преференції та бути найбільш сприятливими і привабливими для інвесторів. </w:t>
      </w:r>
    </w:p>
    <w:p w:rsidR="00CE54D5" w:rsidRPr="00DB5E76" w:rsidRDefault="00CE54D5" w:rsidP="00CE54D5">
      <w:pPr>
        <w:spacing w:after="0" w:line="240" w:lineRule="auto"/>
        <w:ind w:firstLine="851"/>
        <w:jc w:val="both"/>
        <w:rPr>
          <w:rFonts w:ascii="Times New Roman" w:hAnsi="Times New Roman" w:cs="Times New Roman"/>
          <w:sz w:val="28"/>
          <w:szCs w:val="28"/>
          <w:lang w:val="uk-UA"/>
        </w:rPr>
      </w:pPr>
    </w:p>
    <w:p w:rsidR="00975909" w:rsidRPr="00DB5E76" w:rsidRDefault="00975909" w:rsidP="00B47DEA">
      <w:pPr>
        <w:spacing w:line="240" w:lineRule="auto"/>
        <w:ind w:firstLine="851"/>
        <w:jc w:val="both"/>
        <w:rPr>
          <w:rFonts w:ascii="Times New Roman" w:hAnsi="Times New Roman" w:cs="Times New Roman"/>
          <w:sz w:val="28"/>
          <w:szCs w:val="28"/>
          <w:lang w:val="uk-UA"/>
        </w:rPr>
      </w:pPr>
    </w:p>
    <w:sectPr w:rsidR="00975909" w:rsidRPr="00DB5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399E"/>
    <w:multiLevelType w:val="hybridMultilevel"/>
    <w:tmpl w:val="63B489D6"/>
    <w:lvl w:ilvl="0" w:tplc="4A3E8C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2CA7F09"/>
    <w:multiLevelType w:val="hybridMultilevel"/>
    <w:tmpl w:val="8C2C1B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6C91EC4"/>
    <w:multiLevelType w:val="hybridMultilevel"/>
    <w:tmpl w:val="FE38716E"/>
    <w:lvl w:ilvl="0" w:tplc="1C38F622">
      <w:start w:val="1"/>
      <w:numFmt w:val="bullet"/>
      <w:lvlText w:val=""/>
      <w:lvlJc w:val="left"/>
      <w:pPr>
        <w:tabs>
          <w:tab w:val="num" w:pos="720"/>
        </w:tabs>
        <w:ind w:left="720" w:hanging="360"/>
      </w:pPr>
      <w:rPr>
        <w:rFonts w:ascii="Wingdings" w:hAnsi="Wingdings" w:hint="default"/>
      </w:rPr>
    </w:lvl>
    <w:lvl w:ilvl="1" w:tplc="3462FFC0" w:tentative="1">
      <w:start w:val="1"/>
      <w:numFmt w:val="bullet"/>
      <w:lvlText w:val=""/>
      <w:lvlJc w:val="left"/>
      <w:pPr>
        <w:tabs>
          <w:tab w:val="num" w:pos="1440"/>
        </w:tabs>
        <w:ind w:left="1440" w:hanging="360"/>
      </w:pPr>
      <w:rPr>
        <w:rFonts w:ascii="Wingdings" w:hAnsi="Wingdings" w:hint="default"/>
      </w:rPr>
    </w:lvl>
    <w:lvl w:ilvl="2" w:tplc="162038D0" w:tentative="1">
      <w:start w:val="1"/>
      <w:numFmt w:val="bullet"/>
      <w:lvlText w:val=""/>
      <w:lvlJc w:val="left"/>
      <w:pPr>
        <w:tabs>
          <w:tab w:val="num" w:pos="2160"/>
        </w:tabs>
        <w:ind w:left="2160" w:hanging="360"/>
      </w:pPr>
      <w:rPr>
        <w:rFonts w:ascii="Wingdings" w:hAnsi="Wingdings" w:hint="default"/>
      </w:rPr>
    </w:lvl>
    <w:lvl w:ilvl="3" w:tplc="DAE4E0FC" w:tentative="1">
      <w:start w:val="1"/>
      <w:numFmt w:val="bullet"/>
      <w:lvlText w:val=""/>
      <w:lvlJc w:val="left"/>
      <w:pPr>
        <w:tabs>
          <w:tab w:val="num" w:pos="2880"/>
        </w:tabs>
        <w:ind w:left="2880" w:hanging="360"/>
      </w:pPr>
      <w:rPr>
        <w:rFonts w:ascii="Wingdings" w:hAnsi="Wingdings" w:hint="default"/>
      </w:rPr>
    </w:lvl>
    <w:lvl w:ilvl="4" w:tplc="E58E3884" w:tentative="1">
      <w:start w:val="1"/>
      <w:numFmt w:val="bullet"/>
      <w:lvlText w:val=""/>
      <w:lvlJc w:val="left"/>
      <w:pPr>
        <w:tabs>
          <w:tab w:val="num" w:pos="3600"/>
        </w:tabs>
        <w:ind w:left="3600" w:hanging="360"/>
      </w:pPr>
      <w:rPr>
        <w:rFonts w:ascii="Wingdings" w:hAnsi="Wingdings" w:hint="default"/>
      </w:rPr>
    </w:lvl>
    <w:lvl w:ilvl="5" w:tplc="8708D40C" w:tentative="1">
      <w:start w:val="1"/>
      <w:numFmt w:val="bullet"/>
      <w:lvlText w:val=""/>
      <w:lvlJc w:val="left"/>
      <w:pPr>
        <w:tabs>
          <w:tab w:val="num" w:pos="4320"/>
        </w:tabs>
        <w:ind w:left="4320" w:hanging="360"/>
      </w:pPr>
      <w:rPr>
        <w:rFonts w:ascii="Wingdings" w:hAnsi="Wingdings" w:hint="default"/>
      </w:rPr>
    </w:lvl>
    <w:lvl w:ilvl="6" w:tplc="74C08722" w:tentative="1">
      <w:start w:val="1"/>
      <w:numFmt w:val="bullet"/>
      <w:lvlText w:val=""/>
      <w:lvlJc w:val="left"/>
      <w:pPr>
        <w:tabs>
          <w:tab w:val="num" w:pos="5040"/>
        </w:tabs>
        <w:ind w:left="5040" w:hanging="360"/>
      </w:pPr>
      <w:rPr>
        <w:rFonts w:ascii="Wingdings" w:hAnsi="Wingdings" w:hint="default"/>
      </w:rPr>
    </w:lvl>
    <w:lvl w:ilvl="7" w:tplc="C5E4496A" w:tentative="1">
      <w:start w:val="1"/>
      <w:numFmt w:val="bullet"/>
      <w:lvlText w:val=""/>
      <w:lvlJc w:val="left"/>
      <w:pPr>
        <w:tabs>
          <w:tab w:val="num" w:pos="5760"/>
        </w:tabs>
        <w:ind w:left="5760" w:hanging="360"/>
      </w:pPr>
      <w:rPr>
        <w:rFonts w:ascii="Wingdings" w:hAnsi="Wingdings" w:hint="default"/>
      </w:rPr>
    </w:lvl>
    <w:lvl w:ilvl="8" w:tplc="CA164730" w:tentative="1">
      <w:start w:val="1"/>
      <w:numFmt w:val="bullet"/>
      <w:lvlText w:val=""/>
      <w:lvlJc w:val="left"/>
      <w:pPr>
        <w:tabs>
          <w:tab w:val="num" w:pos="6480"/>
        </w:tabs>
        <w:ind w:left="6480" w:hanging="360"/>
      </w:pPr>
      <w:rPr>
        <w:rFonts w:ascii="Wingdings" w:hAnsi="Wingdings" w:hint="default"/>
      </w:rPr>
    </w:lvl>
  </w:abstractNum>
  <w:abstractNum w:abstractNumId="3">
    <w:nsid w:val="5EC446CF"/>
    <w:multiLevelType w:val="hybridMultilevel"/>
    <w:tmpl w:val="516E6024"/>
    <w:lvl w:ilvl="0" w:tplc="D3D4E19A">
      <w:start w:val="1"/>
      <w:numFmt w:val="bullet"/>
      <w:lvlText w:val=""/>
      <w:lvlJc w:val="left"/>
      <w:pPr>
        <w:tabs>
          <w:tab w:val="num" w:pos="720"/>
        </w:tabs>
        <w:ind w:left="720" w:hanging="360"/>
      </w:pPr>
      <w:rPr>
        <w:rFonts w:ascii="Wingdings" w:hAnsi="Wingdings" w:hint="default"/>
      </w:rPr>
    </w:lvl>
    <w:lvl w:ilvl="1" w:tplc="88C2EAA4" w:tentative="1">
      <w:start w:val="1"/>
      <w:numFmt w:val="bullet"/>
      <w:lvlText w:val=""/>
      <w:lvlJc w:val="left"/>
      <w:pPr>
        <w:tabs>
          <w:tab w:val="num" w:pos="1440"/>
        </w:tabs>
        <w:ind w:left="1440" w:hanging="360"/>
      </w:pPr>
      <w:rPr>
        <w:rFonts w:ascii="Wingdings" w:hAnsi="Wingdings" w:hint="default"/>
      </w:rPr>
    </w:lvl>
    <w:lvl w:ilvl="2" w:tplc="508C8FB8" w:tentative="1">
      <w:start w:val="1"/>
      <w:numFmt w:val="bullet"/>
      <w:lvlText w:val=""/>
      <w:lvlJc w:val="left"/>
      <w:pPr>
        <w:tabs>
          <w:tab w:val="num" w:pos="2160"/>
        </w:tabs>
        <w:ind w:left="2160" w:hanging="360"/>
      </w:pPr>
      <w:rPr>
        <w:rFonts w:ascii="Wingdings" w:hAnsi="Wingdings" w:hint="default"/>
      </w:rPr>
    </w:lvl>
    <w:lvl w:ilvl="3" w:tplc="2C483BB2" w:tentative="1">
      <w:start w:val="1"/>
      <w:numFmt w:val="bullet"/>
      <w:lvlText w:val=""/>
      <w:lvlJc w:val="left"/>
      <w:pPr>
        <w:tabs>
          <w:tab w:val="num" w:pos="2880"/>
        </w:tabs>
        <w:ind w:left="2880" w:hanging="360"/>
      </w:pPr>
      <w:rPr>
        <w:rFonts w:ascii="Wingdings" w:hAnsi="Wingdings" w:hint="default"/>
      </w:rPr>
    </w:lvl>
    <w:lvl w:ilvl="4" w:tplc="AFAAC2DC" w:tentative="1">
      <w:start w:val="1"/>
      <w:numFmt w:val="bullet"/>
      <w:lvlText w:val=""/>
      <w:lvlJc w:val="left"/>
      <w:pPr>
        <w:tabs>
          <w:tab w:val="num" w:pos="3600"/>
        </w:tabs>
        <w:ind w:left="3600" w:hanging="360"/>
      </w:pPr>
      <w:rPr>
        <w:rFonts w:ascii="Wingdings" w:hAnsi="Wingdings" w:hint="default"/>
      </w:rPr>
    </w:lvl>
    <w:lvl w:ilvl="5" w:tplc="EAD0CF4C" w:tentative="1">
      <w:start w:val="1"/>
      <w:numFmt w:val="bullet"/>
      <w:lvlText w:val=""/>
      <w:lvlJc w:val="left"/>
      <w:pPr>
        <w:tabs>
          <w:tab w:val="num" w:pos="4320"/>
        </w:tabs>
        <w:ind w:left="4320" w:hanging="360"/>
      </w:pPr>
      <w:rPr>
        <w:rFonts w:ascii="Wingdings" w:hAnsi="Wingdings" w:hint="default"/>
      </w:rPr>
    </w:lvl>
    <w:lvl w:ilvl="6" w:tplc="2F1A83E0" w:tentative="1">
      <w:start w:val="1"/>
      <w:numFmt w:val="bullet"/>
      <w:lvlText w:val=""/>
      <w:lvlJc w:val="left"/>
      <w:pPr>
        <w:tabs>
          <w:tab w:val="num" w:pos="5040"/>
        </w:tabs>
        <w:ind w:left="5040" w:hanging="360"/>
      </w:pPr>
      <w:rPr>
        <w:rFonts w:ascii="Wingdings" w:hAnsi="Wingdings" w:hint="default"/>
      </w:rPr>
    </w:lvl>
    <w:lvl w:ilvl="7" w:tplc="98A69040" w:tentative="1">
      <w:start w:val="1"/>
      <w:numFmt w:val="bullet"/>
      <w:lvlText w:val=""/>
      <w:lvlJc w:val="left"/>
      <w:pPr>
        <w:tabs>
          <w:tab w:val="num" w:pos="5760"/>
        </w:tabs>
        <w:ind w:left="5760" w:hanging="360"/>
      </w:pPr>
      <w:rPr>
        <w:rFonts w:ascii="Wingdings" w:hAnsi="Wingdings" w:hint="default"/>
      </w:rPr>
    </w:lvl>
    <w:lvl w:ilvl="8" w:tplc="867CD3FE" w:tentative="1">
      <w:start w:val="1"/>
      <w:numFmt w:val="bullet"/>
      <w:lvlText w:val=""/>
      <w:lvlJc w:val="left"/>
      <w:pPr>
        <w:tabs>
          <w:tab w:val="num" w:pos="6480"/>
        </w:tabs>
        <w:ind w:left="6480" w:hanging="360"/>
      </w:pPr>
      <w:rPr>
        <w:rFonts w:ascii="Wingdings" w:hAnsi="Wingdings" w:hint="default"/>
      </w:rPr>
    </w:lvl>
  </w:abstractNum>
  <w:abstractNum w:abstractNumId="4">
    <w:nsid w:val="61C330D9"/>
    <w:multiLevelType w:val="hybridMultilevel"/>
    <w:tmpl w:val="00FE491E"/>
    <w:lvl w:ilvl="0" w:tplc="1E0291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DB170E9"/>
    <w:multiLevelType w:val="hybridMultilevel"/>
    <w:tmpl w:val="0952EF26"/>
    <w:lvl w:ilvl="0" w:tplc="4A3E8CE0">
      <w:start w:val="1"/>
      <w:numFmt w:val="bullet"/>
      <w:lvlText w:val=""/>
      <w:lvlJc w:val="left"/>
      <w:pPr>
        <w:ind w:left="1571" w:hanging="360"/>
      </w:pPr>
      <w:rPr>
        <w:rFonts w:ascii="Symbol" w:hAnsi="Symbol" w:hint="default"/>
      </w:rPr>
    </w:lvl>
    <w:lvl w:ilvl="1" w:tplc="4A3E8C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4E5BDE"/>
    <w:multiLevelType w:val="hybridMultilevel"/>
    <w:tmpl w:val="F7F2AD9E"/>
    <w:lvl w:ilvl="0" w:tplc="4A3E8C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7BB92E33"/>
    <w:multiLevelType w:val="hybridMultilevel"/>
    <w:tmpl w:val="4E74458E"/>
    <w:lvl w:ilvl="0" w:tplc="4A3E8C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B5F"/>
    <w:rsid w:val="00065835"/>
    <w:rsid w:val="00091CDC"/>
    <w:rsid w:val="00092381"/>
    <w:rsid w:val="000C6CA1"/>
    <w:rsid w:val="00166123"/>
    <w:rsid w:val="00194743"/>
    <w:rsid w:val="001A0B0A"/>
    <w:rsid w:val="002462AD"/>
    <w:rsid w:val="00255111"/>
    <w:rsid w:val="00274C52"/>
    <w:rsid w:val="002B3141"/>
    <w:rsid w:val="002C7F4B"/>
    <w:rsid w:val="002E6FB4"/>
    <w:rsid w:val="0037679C"/>
    <w:rsid w:val="003C5B5F"/>
    <w:rsid w:val="004265E9"/>
    <w:rsid w:val="00456351"/>
    <w:rsid w:val="00482351"/>
    <w:rsid w:val="004E0AF4"/>
    <w:rsid w:val="00550B5A"/>
    <w:rsid w:val="005C33A3"/>
    <w:rsid w:val="005D358C"/>
    <w:rsid w:val="005D4CB6"/>
    <w:rsid w:val="006723BF"/>
    <w:rsid w:val="0073018F"/>
    <w:rsid w:val="00767306"/>
    <w:rsid w:val="008B391B"/>
    <w:rsid w:val="00922086"/>
    <w:rsid w:val="00963919"/>
    <w:rsid w:val="00975909"/>
    <w:rsid w:val="009C1426"/>
    <w:rsid w:val="009E6192"/>
    <w:rsid w:val="00A64918"/>
    <w:rsid w:val="00AE451D"/>
    <w:rsid w:val="00B47DEA"/>
    <w:rsid w:val="00B57B4E"/>
    <w:rsid w:val="00BF023B"/>
    <w:rsid w:val="00BF07A0"/>
    <w:rsid w:val="00C535C2"/>
    <w:rsid w:val="00C62AA9"/>
    <w:rsid w:val="00CD1936"/>
    <w:rsid w:val="00CE54D5"/>
    <w:rsid w:val="00D64BCC"/>
    <w:rsid w:val="00DB5E76"/>
    <w:rsid w:val="00DF3E6C"/>
    <w:rsid w:val="00DF644E"/>
    <w:rsid w:val="00EF0CCD"/>
    <w:rsid w:val="00F75D58"/>
    <w:rsid w:val="00F77929"/>
    <w:rsid w:val="00FE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4C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D4C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6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C5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rvps2">
    <w:name w:val="rvps2"/>
    <w:basedOn w:val="a"/>
    <w:rsid w:val="0037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7679C"/>
    <w:rPr>
      <w:color w:val="0000FF"/>
      <w:u w:val="single"/>
    </w:rPr>
  </w:style>
  <w:style w:type="paragraph" w:styleId="a5">
    <w:name w:val="No Spacing"/>
    <w:uiPriority w:val="1"/>
    <w:qFormat/>
    <w:rsid w:val="00456351"/>
    <w:pPr>
      <w:spacing w:after="0" w:line="240" w:lineRule="auto"/>
    </w:pPr>
  </w:style>
  <w:style w:type="character" w:customStyle="1" w:styleId="10">
    <w:name w:val="Заголовок 1 Знак"/>
    <w:basedOn w:val="a0"/>
    <w:link w:val="1"/>
    <w:uiPriority w:val="9"/>
    <w:rsid w:val="005D4C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D4CB6"/>
    <w:rPr>
      <w:rFonts w:asciiTheme="majorHAnsi" w:eastAsiaTheme="majorEastAsia" w:hAnsiTheme="majorHAnsi" w:cstheme="majorBidi"/>
      <w:b/>
      <w:bCs/>
      <w:color w:val="4F81BD" w:themeColor="accent1"/>
      <w:sz w:val="26"/>
      <w:szCs w:val="26"/>
    </w:rPr>
  </w:style>
  <w:style w:type="paragraph" w:customStyle="1" w:styleId="11">
    <w:name w:val="Стиль1"/>
    <w:basedOn w:val="a"/>
    <w:link w:val="12"/>
    <w:qFormat/>
    <w:rsid w:val="005D4CB6"/>
    <w:pPr>
      <w:spacing w:after="0" w:line="240" w:lineRule="auto"/>
      <w:ind w:firstLine="851"/>
      <w:jc w:val="both"/>
    </w:pPr>
    <w:rPr>
      <w:rFonts w:ascii="Times New Roman" w:hAnsi="Times New Roman" w:cs="Times New Roman"/>
      <w:b/>
      <w:sz w:val="28"/>
      <w:szCs w:val="28"/>
      <w:lang w:val="uk-UA"/>
    </w:rPr>
  </w:style>
  <w:style w:type="paragraph" w:styleId="a6">
    <w:name w:val="TOC Heading"/>
    <w:basedOn w:val="1"/>
    <w:next w:val="a"/>
    <w:uiPriority w:val="39"/>
    <w:semiHidden/>
    <w:unhideWhenUsed/>
    <w:qFormat/>
    <w:rsid w:val="00A64918"/>
    <w:pPr>
      <w:outlineLvl w:val="9"/>
    </w:pPr>
    <w:rPr>
      <w:lang w:eastAsia="ru-RU"/>
    </w:rPr>
  </w:style>
  <w:style w:type="character" w:customStyle="1" w:styleId="12">
    <w:name w:val="Стиль1 Знак"/>
    <w:basedOn w:val="a0"/>
    <w:link w:val="11"/>
    <w:rsid w:val="005D4CB6"/>
    <w:rPr>
      <w:rFonts w:ascii="Times New Roman" w:hAnsi="Times New Roman" w:cs="Times New Roman"/>
      <w:b/>
      <w:sz w:val="28"/>
      <w:szCs w:val="28"/>
      <w:lang w:val="uk-UA"/>
    </w:rPr>
  </w:style>
  <w:style w:type="paragraph" w:styleId="a7">
    <w:name w:val="Balloon Text"/>
    <w:basedOn w:val="a"/>
    <w:link w:val="a8"/>
    <w:uiPriority w:val="99"/>
    <w:semiHidden/>
    <w:unhideWhenUsed/>
    <w:rsid w:val="00A649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4918"/>
    <w:rPr>
      <w:rFonts w:ascii="Tahoma" w:hAnsi="Tahoma" w:cs="Tahoma"/>
      <w:sz w:val="16"/>
      <w:szCs w:val="16"/>
    </w:rPr>
  </w:style>
  <w:style w:type="character" w:customStyle="1" w:styleId="30">
    <w:name w:val="Заголовок 3 Знак"/>
    <w:basedOn w:val="a0"/>
    <w:link w:val="3"/>
    <w:uiPriority w:val="9"/>
    <w:semiHidden/>
    <w:rsid w:val="00A64918"/>
    <w:rPr>
      <w:rFonts w:asciiTheme="majorHAnsi" w:eastAsiaTheme="majorEastAsia" w:hAnsiTheme="majorHAnsi" w:cstheme="majorBidi"/>
      <w:b/>
      <w:bCs/>
      <w:color w:val="4F81BD" w:themeColor="accent1"/>
    </w:rPr>
  </w:style>
  <w:style w:type="paragraph" w:styleId="13">
    <w:name w:val="toc 1"/>
    <w:basedOn w:val="a"/>
    <w:next w:val="a"/>
    <w:autoRedefine/>
    <w:uiPriority w:val="39"/>
    <w:unhideWhenUsed/>
    <w:rsid w:val="00DF3E6C"/>
    <w:pPr>
      <w:tabs>
        <w:tab w:val="right" w:leader="dot" w:pos="9345"/>
      </w:tabs>
      <w:spacing w:after="100"/>
      <w:ind w:firstLine="851"/>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4C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D4C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6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C5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rvps2">
    <w:name w:val="rvps2"/>
    <w:basedOn w:val="a"/>
    <w:rsid w:val="00376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7679C"/>
    <w:rPr>
      <w:color w:val="0000FF"/>
      <w:u w:val="single"/>
    </w:rPr>
  </w:style>
  <w:style w:type="paragraph" w:styleId="a5">
    <w:name w:val="No Spacing"/>
    <w:uiPriority w:val="1"/>
    <w:qFormat/>
    <w:rsid w:val="00456351"/>
    <w:pPr>
      <w:spacing w:after="0" w:line="240" w:lineRule="auto"/>
    </w:pPr>
  </w:style>
  <w:style w:type="character" w:customStyle="1" w:styleId="10">
    <w:name w:val="Заголовок 1 Знак"/>
    <w:basedOn w:val="a0"/>
    <w:link w:val="1"/>
    <w:uiPriority w:val="9"/>
    <w:rsid w:val="005D4C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D4CB6"/>
    <w:rPr>
      <w:rFonts w:asciiTheme="majorHAnsi" w:eastAsiaTheme="majorEastAsia" w:hAnsiTheme="majorHAnsi" w:cstheme="majorBidi"/>
      <w:b/>
      <w:bCs/>
      <w:color w:val="4F81BD" w:themeColor="accent1"/>
      <w:sz w:val="26"/>
      <w:szCs w:val="26"/>
    </w:rPr>
  </w:style>
  <w:style w:type="paragraph" w:customStyle="1" w:styleId="11">
    <w:name w:val="Стиль1"/>
    <w:basedOn w:val="a"/>
    <w:link w:val="12"/>
    <w:qFormat/>
    <w:rsid w:val="005D4CB6"/>
    <w:pPr>
      <w:spacing w:after="0" w:line="240" w:lineRule="auto"/>
      <w:ind w:firstLine="851"/>
      <w:jc w:val="both"/>
    </w:pPr>
    <w:rPr>
      <w:rFonts w:ascii="Times New Roman" w:hAnsi="Times New Roman" w:cs="Times New Roman"/>
      <w:b/>
      <w:sz w:val="28"/>
      <w:szCs w:val="28"/>
      <w:lang w:val="uk-UA"/>
    </w:rPr>
  </w:style>
  <w:style w:type="paragraph" w:styleId="a6">
    <w:name w:val="TOC Heading"/>
    <w:basedOn w:val="1"/>
    <w:next w:val="a"/>
    <w:uiPriority w:val="39"/>
    <w:semiHidden/>
    <w:unhideWhenUsed/>
    <w:qFormat/>
    <w:rsid w:val="00A64918"/>
    <w:pPr>
      <w:outlineLvl w:val="9"/>
    </w:pPr>
    <w:rPr>
      <w:lang w:eastAsia="ru-RU"/>
    </w:rPr>
  </w:style>
  <w:style w:type="character" w:customStyle="1" w:styleId="12">
    <w:name w:val="Стиль1 Знак"/>
    <w:basedOn w:val="a0"/>
    <w:link w:val="11"/>
    <w:rsid w:val="005D4CB6"/>
    <w:rPr>
      <w:rFonts w:ascii="Times New Roman" w:hAnsi="Times New Roman" w:cs="Times New Roman"/>
      <w:b/>
      <w:sz w:val="28"/>
      <w:szCs w:val="28"/>
      <w:lang w:val="uk-UA"/>
    </w:rPr>
  </w:style>
  <w:style w:type="paragraph" w:styleId="a7">
    <w:name w:val="Balloon Text"/>
    <w:basedOn w:val="a"/>
    <w:link w:val="a8"/>
    <w:uiPriority w:val="99"/>
    <w:semiHidden/>
    <w:unhideWhenUsed/>
    <w:rsid w:val="00A649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4918"/>
    <w:rPr>
      <w:rFonts w:ascii="Tahoma" w:hAnsi="Tahoma" w:cs="Tahoma"/>
      <w:sz w:val="16"/>
      <w:szCs w:val="16"/>
    </w:rPr>
  </w:style>
  <w:style w:type="character" w:customStyle="1" w:styleId="30">
    <w:name w:val="Заголовок 3 Знак"/>
    <w:basedOn w:val="a0"/>
    <w:link w:val="3"/>
    <w:uiPriority w:val="9"/>
    <w:semiHidden/>
    <w:rsid w:val="00A64918"/>
    <w:rPr>
      <w:rFonts w:asciiTheme="majorHAnsi" w:eastAsiaTheme="majorEastAsia" w:hAnsiTheme="majorHAnsi" w:cstheme="majorBidi"/>
      <w:b/>
      <w:bCs/>
      <w:color w:val="4F81BD" w:themeColor="accent1"/>
    </w:rPr>
  </w:style>
  <w:style w:type="paragraph" w:styleId="13">
    <w:name w:val="toc 1"/>
    <w:basedOn w:val="a"/>
    <w:next w:val="a"/>
    <w:autoRedefine/>
    <w:uiPriority w:val="39"/>
    <w:unhideWhenUsed/>
    <w:rsid w:val="00DF3E6C"/>
    <w:pPr>
      <w:tabs>
        <w:tab w:val="right" w:leader="dot" w:pos="9345"/>
      </w:tabs>
      <w:spacing w:after="100"/>
      <w:ind w:firstLine="85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4064">
      <w:bodyDiv w:val="1"/>
      <w:marLeft w:val="0"/>
      <w:marRight w:val="0"/>
      <w:marTop w:val="0"/>
      <w:marBottom w:val="0"/>
      <w:divBdr>
        <w:top w:val="none" w:sz="0" w:space="0" w:color="auto"/>
        <w:left w:val="none" w:sz="0" w:space="0" w:color="auto"/>
        <w:bottom w:val="none" w:sz="0" w:space="0" w:color="auto"/>
        <w:right w:val="none" w:sz="0" w:space="0" w:color="auto"/>
      </w:divBdr>
    </w:div>
    <w:div w:id="125709671">
      <w:bodyDiv w:val="1"/>
      <w:marLeft w:val="0"/>
      <w:marRight w:val="0"/>
      <w:marTop w:val="0"/>
      <w:marBottom w:val="0"/>
      <w:divBdr>
        <w:top w:val="none" w:sz="0" w:space="0" w:color="auto"/>
        <w:left w:val="none" w:sz="0" w:space="0" w:color="auto"/>
        <w:bottom w:val="none" w:sz="0" w:space="0" w:color="auto"/>
        <w:right w:val="none" w:sz="0" w:space="0" w:color="auto"/>
      </w:divBdr>
    </w:div>
    <w:div w:id="439646757">
      <w:bodyDiv w:val="1"/>
      <w:marLeft w:val="0"/>
      <w:marRight w:val="0"/>
      <w:marTop w:val="0"/>
      <w:marBottom w:val="0"/>
      <w:divBdr>
        <w:top w:val="none" w:sz="0" w:space="0" w:color="auto"/>
        <w:left w:val="none" w:sz="0" w:space="0" w:color="auto"/>
        <w:bottom w:val="none" w:sz="0" w:space="0" w:color="auto"/>
        <w:right w:val="none" w:sz="0" w:space="0" w:color="auto"/>
      </w:divBdr>
      <w:divsChild>
        <w:div w:id="1196038995">
          <w:marLeft w:val="446"/>
          <w:marRight w:val="0"/>
          <w:marTop w:val="100"/>
          <w:marBottom w:val="0"/>
          <w:divBdr>
            <w:top w:val="none" w:sz="0" w:space="0" w:color="auto"/>
            <w:left w:val="none" w:sz="0" w:space="0" w:color="auto"/>
            <w:bottom w:val="none" w:sz="0" w:space="0" w:color="auto"/>
            <w:right w:val="none" w:sz="0" w:space="0" w:color="auto"/>
          </w:divBdr>
        </w:div>
        <w:div w:id="2123719008">
          <w:marLeft w:val="446"/>
          <w:marRight w:val="0"/>
          <w:marTop w:val="100"/>
          <w:marBottom w:val="0"/>
          <w:divBdr>
            <w:top w:val="none" w:sz="0" w:space="0" w:color="auto"/>
            <w:left w:val="none" w:sz="0" w:space="0" w:color="auto"/>
            <w:bottom w:val="none" w:sz="0" w:space="0" w:color="auto"/>
            <w:right w:val="none" w:sz="0" w:space="0" w:color="auto"/>
          </w:divBdr>
        </w:div>
        <w:div w:id="300573437">
          <w:marLeft w:val="446"/>
          <w:marRight w:val="0"/>
          <w:marTop w:val="100"/>
          <w:marBottom w:val="0"/>
          <w:divBdr>
            <w:top w:val="none" w:sz="0" w:space="0" w:color="auto"/>
            <w:left w:val="none" w:sz="0" w:space="0" w:color="auto"/>
            <w:bottom w:val="none" w:sz="0" w:space="0" w:color="auto"/>
            <w:right w:val="none" w:sz="0" w:space="0" w:color="auto"/>
          </w:divBdr>
        </w:div>
      </w:divsChild>
    </w:div>
    <w:div w:id="75998291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6146683">
      <w:bodyDiv w:val="1"/>
      <w:marLeft w:val="0"/>
      <w:marRight w:val="0"/>
      <w:marTop w:val="0"/>
      <w:marBottom w:val="0"/>
      <w:divBdr>
        <w:top w:val="none" w:sz="0" w:space="0" w:color="auto"/>
        <w:left w:val="none" w:sz="0" w:space="0" w:color="auto"/>
        <w:bottom w:val="none" w:sz="0" w:space="0" w:color="auto"/>
        <w:right w:val="none" w:sz="0" w:space="0" w:color="auto"/>
      </w:divBdr>
    </w:div>
    <w:div w:id="1252425074">
      <w:bodyDiv w:val="1"/>
      <w:marLeft w:val="0"/>
      <w:marRight w:val="0"/>
      <w:marTop w:val="0"/>
      <w:marBottom w:val="0"/>
      <w:divBdr>
        <w:top w:val="none" w:sz="0" w:space="0" w:color="auto"/>
        <w:left w:val="none" w:sz="0" w:space="0" w:color="auto"/>
        <w:bottom w:val="none" w:sz="0" w:space="0" w:color="auto"/>
        <w:right w:val="none" w:sz="0" w:space="0" w:color="auto"/>
      </w:divBdr>
    </w:div>
    <w:div w:id="1349672107">
      <w:bodyDiv w:val="1"/>
      <w:marLeft w:val="0"/>
      <w:marRight w:val="0"/>
      <w:marTop w:val="0"/>
      <w:marBottom w:val="0"/>
      <w:divBdr>
        <w:top w:val="none" w:sz="0" w:space="0" w:color="auto"/>
        <w:left w:val="none" w:sz="0" w:space="0" w:color="auto"/>
        <w:bottom w:val="none" w:sz="0" w:space="0" w:color="auto"/>
        <w:right w:val="none" w:sz="0" w:space="0" w:color="auto"/>
      </w:divBdr>
    </w:div>
    <w:div w:id="1395276221">
      <w:bodyDiv w:val="1"/>
      <w:marLeft w:val="0"/>
      <w:marRight w:val="0"/>
      <w:marTop w:val="0"/>
      <w:marBottom w:val="0"/>
      <w:divBdr>
        <w:top w:val="none" w:sz="0" w:space="0" w:color="auto"/>
        <w:left w:val="none" w:sz="0" w:space="0" w:color="auto"/>
        <w:bottom w:val="none" w:sz="0" w:space="0" w:color="auto"/>
        <w:right w:val="none" w:sz="0" w:space="0" w:color="auto"/>
      </w:divBdr>
    </w:div>
    <w:div w:id="1403674980">
      <w:bodyDiv w:val="1"/>
      <w:marLeft w:val="0"/>
      <w:marRight w:val="0"/>
      <w:marTop w:val="0"/>
      <w:marBottom w:val="0"/>
      <w:divBdr>
        <w:top w:val="none" w:sz="0" w:space="0" w:color="auto"/>
        <w:left w:val="none" w:sz="0" w:space="0" w:color="auto"/>
        <w:bottom w:val="none" w:sz="0" w:space="0" w:color="auto"/>
        <w:right w:val="none" w:sz="0" w:space="0" w:color="auto"/>
      </w:divBdr>
    </w:div>
    <w:div w:id="1665939331">
      <w:bodyDiv w:val="1"/>
      <w:marLeft w:val="0"/>
      <w:marRight w:val="0"/>
      <w:marTop w:val="0"/>
      <w:marBottom w:val="0"/>
      <w:divBdr>
        <w:top w:val="none" w:sz="0" w:space="0" w:color="auto"/>
        <w:left w:val="none" w:sz="0" w:space="0" w:color="auto"/>
        <w:bottom w:val="none" w:sz="0" w:space="0" w:color="auto"/>
        <w:right w:val="none" w:sz="0" w:space="0" w:color="auto"/>
      </w:divBdr>
    </w:div>
    <w:div w:id="1781802134">
      <w:bodyDiv w:val="1"/>
      <w:marLeft w:val="0"/>
      <w:marRight w:val="0"/>
      <w:marTop w:val="0"/>
      <w:marBottom w:val="0"/>
      <w:divBdr>
        <w:top w:val="none" w:sz="0" w:space="0" w:color="auto"/>
        <w:left w:val="none" w:sz="0" w:space="0" w:color="auto"/>
        <w:bottom w:val="none" w:sz="0" w:space="0" w:color="auto"/>
        <w:right w:val="none" w:sz="0" w:space="0" w:color="auto"/>
      </w:divBdr>
    </w:div>
    <w:div w:id="1915161748">
      <w:bodyDiv w:val="1"/>
      <w:marLeft w:val="0"/>
      <w:marRight w:val="0"/>
      <w:marTop w:val="0"/>
      <w:marBottom w:val="0"/>
      <w:divBdr>
        <w:top w:val="none" w:sz="0" w:space="0" w:color="auto"/>
        <w:left w:val="none" w:sz="0" w:space="0" w:color="auto"/>
        <w:bottom w:val="none" w:sz="0" w:space="0" w:color="auto"/>
        <w:right w:val="none" w:sz="0" w:space="0" w:color="auto"/>
      </w:divBdr>
    </w:div>
    <w:div w:id="20348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1619E-5538-4D4B-B5D3-9D113F5C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6</Pages>
  <Words>1864</Words>
  <Characters>10628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17</cp:revision>
  <dcterms:created xsi:type="dcterms:W3CDTF">2022-09-01T09:34:00Z</dcterms:created>
  <dcterms:modified xsi:type="dcterms:W3CDTF">2022-09-06T11:34:00Z</dcterms:modified>
</cp:coreProperties>
</file>