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789C" w14:textId="02F1429C" w:rsidR="002A4D47" w:rsidRPr="002A4D47" w:rsidRDefault="002A4D47" w:rsidP="00836D17">
      <w:pPr>
        <w:spacing w:before="100" w:beforeAutospacing="1" w:after="100" w:afterAutospacing="1"/>
        <w:jc w:val="center"/>
        <w:outlineLvl w:val="2"/>
        <w:rPr>
          <w:rFonts w:ascii="PT Serif" w:eastAsia="Times New Roman" w:hAnsi="PT Serif" w:cs="Times New Roman"/>
          <w:b/>
          <w:bCs/>
          <w:color w:val="000000"/>
          <w:sz w:val="27"/>
          <w:szCs w:val="27"/>
          <w:lang w:eastAsia="ru-RU"/>
        </w:rPr>
      </w:pPr>
      <w:r w:rsidRPr="002A4D47">
        <w:rPr>
          <w:rFonts w:ascii="PT Serif" w:eastAsia="Times New Roman" w:hAnsi="PT Serif" w:cs="Times New Roman"/>
          <w:b/>
          <w:bCs/>
          <w:color w:val="800000"/>
          <w:sz w:val="27"/>
          <w:szCs w:val="27"/>
          <w:lang w:eastAsia="ru-RU"/>
        </w:rPr>
        <w:t>Méthodes et techniques</w:t>
      </w:r>
      <w:r w:rsidR="00836D17">
        <w:rPr>
          <w:rFonts w:ascii="PT Serif" w:eastAsia="Times New Roman" w:hAnsi="PT Serif" w:cs="Times New Roman"/>
          <w:b/>
          <w:bCs/>
          <w:color w:val="800000"/>
          <w:sz w:val="27"/>
          <w:szCs w:val="27"/>
          <w:lang w:eastAsia="ru-RU"/>
        </w:rPr>
        <w:t> </w:t>
      </w:r>
      <w:r w:rsidR="00836D17">
        <w:rPr>
          <w:rFonts w:ascii="PT Serif" w:eastAsia="Times New Roman" w:hAnsi="PT Serif" w:cs="Times New Roman"/>
          <w:b/>
          <w:bCs/>
          <w:color w:val="000000"/>
          <w:sz w:val="27"/>
          <w:szCs w:val="27"/>
          <w:lang w:val="fr-CA" w:eastAsia="ru-RU"/>
        </w:rPr>
        <w:t xml:space="preserve">: </w:t>
      </w:r>
      <w:r w:rsidRPr="002A4D47">
        <w:rPr>
          <w:rFonts w:ascii="PT Serif" w:eastAsia="Times New Roman" w:hAnsi="PT Serif" w:cs="Times New Roman"/>
          <w:b/>
          <w:bCs/>
          <w:color w:val="800000"/>
          <w:sz w:val="27"/>
          <w:szCs w:val="27"/>
          <w:lang w:eastAsia="ru-RU"/>
        </w:rPr>
        <w:t xml:space="preserve">L’argumentation </w:t>
      </w:r>
    </w:p>
    <w:p w14:paraId="282EC853" w14:textId="77777777" w:rsidR="002A4D47" w:rsidRPr="00836D17" w:rsidRDefault="002A4D47" w:rsidP="002A4D47">
      <w:pPr>
        <w:spacing w:before="100" w:beforeAutospacing="1" w:after="100" w:afterAutospacing="1"/>
        <w:jc w:val="center"/>
        <w:outlineLvl w:val="1"/>
        <w:rPr>
          <w:rFonts w:ascii="PT Serif" w:eastAsia="Times New Roman" w:hAnsi="PT Serif" w:cs="Times New Roman"/>
          <w:b/>
          <w:bCs/>
          <w:color w:val="000000"/>
          <w:sz w:val="28"/>
          <w:szCs w:val="28"/>
          <w:lang w:eastAsia="ru-RU"/>
        </w:rPr>
      </w:pPr>
      <w:r w:rsidRPr="00836D17">
        <w:rPr>
          <w:rFonts w:ascii="PT Serif" w:eastAsia="Times New Roman" w:hAnsi="PT Serif" w:cs="Times New Roman"/>
          <w:b/>
          <w:bCs/>
          <w:color w:val="FF6600"/>
          <w:sz w:val="28"/>
          <w:szCs w:val="28"/>
          <w:lang w:eastAsia="ru-RU"/>
        </w:rPr>
        <w:t>Les stratégies du discours argumentatif</w:t>
      </w:r>
    </w:p>
    <w:p w14:paraId="25C7CEDA" w14:textId="77777777" w:rsidR="002A4D47" w:rsidRPr="002A4D47" w:rsidRDefault="002A4D47" w:rsidP="002A4D47">
      <w:pPr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</w:pPr>
      <w:r w:rsidRPr="002A4D47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Sommaire</w:t>
      </w:r>
    </w:p>
    <w:p w14:paraId="7D574B98" w14:textId="77777777" w:rsidR="002A4D47" w:rsidRPr="00564591" w:rsidRDefault="00000000" w:rsidP="002A4D47">
      <w:pPr>
        <w:numPr>
          <w:ilvl w:val="0"/>
          <w:numId w:val="1"/>
        </w:numPr>
        <w:spacing w:before="100" w:beforeAutospacing="1" w:after="100" w:afterAutospacing="1"/>
        <w:rPr>
          <w:rFonts w:ascii="PT Serif" w:eastAsia="Times New Roman" w:hAnsi="PT Serif" w:cs="Times New Roman"/>
          <w:lang w:eastAsia="ru-RU"/>
        </w:rPr>
      </w:pPr>
      <w:hyperlink r:id="rId5" w:anchor="La-rfutation" w:history="1">
        <w:r w:rsidR="002A4D47" w:rsidRPr="00564591">
          <w:rPr>
            <w:rFonts w:ascii="PT Serif" w:eastAsia="Times New Roman" w:hAnsi="PT Serif" w:cs="Times New Roman"/>
            <w:lang w:eastAsia="ru-RU"/>
          </w:rPr>
          <w:t>La réfutation</w:t>
        </w:r>
      </w:hyperlink>
    </w:p>
    <w:p w14:paraId="18FC1496" w14:textId="77777777" w:rsidR="002A4D47" w:rsidRPr="00564591" w:rsidRDefault="00000000" w:rsidP="002A4D47">
      <w:pPr>
        <w:numPr>
          <w:ilvl w:val="0"/>
          <w:numId w:val="1"/>
        </w:numPr>
        <w:spacing w:before="100" w:beforeAutospacing="1" w:after="100" w:afterAutospacing="1"/>
        <w:rPr>
          <w:rFonts w:ascii="PT Serif" w:eastAsia="Times New Roman" w:hAnsi="PT Serif" w:cs="Times New Roman"/>
          <w:lang w:eastAsia="ru-RU"/>
        </w:rPr>
      </w:pPr>
      <w:hyperlink r:id="rId6" w:anchor="La-concession" w:history="1">
        <w:r w:rsidR="002A4D47" w:rsidRPr="00564591">
          <w:rPr>
            <w:rFonts w:ascii="PT Serif" w:eastAsia="Times New Roman" w:hAnsi="PT Serif" w:cs="Times New Roman"/>
            <w:lang w:eastAsia="ru-RU"/>
          </w:rPr>
          <w:t>La concession</w:t>
        </w:r>
      </w:hyperlink>
    </w:p>
    <w:p w14:paraId="19AE7677" w14:textId="77777777" w:rsidR="002A4D47" w:rsidRPr="00564591" w:rsidRDefault="00000000" w:rsidP="002A4D47">
      <w:pPr>
        <w:numPr>
          <w:ilvl w:val="0"/>
          <w:numId w:val="1"/>
        </w:numPr>
        <w:spacing w:before="100" w:beforeAutospacing="1" w:after="100" w:afterAutospacing="1"/>
        <w:rPr>
          <w:rFonts w:ascii="PT Serif" w:eastAsia="Times New Roman" w:hAnsi="PT Serif" w:cs="Times New Roman"/>
          <w:lang w:eastAsia="ru-RU"/>
        </w:rPr>
      </w:pPr>
      <w:hyperlink r:id="rId7" w:anchor="La-confrontation" w:history="1">
        <w:r w:rsidR="002A4D47" w:rsidRPr="00564591">
          <w:rPr>
            <w:rFonts w:ascii="PT Serif" w:eastAsia="Times New Roman" w:hAnsi="PT Serif" w:cs="Times New Roman"/>
            <w:lang w:eastAsia="ru-RU"/>
          </w:rPr>
          <w:t>La confrontation</w:t>
        </w:r>
      </w:hyperlink>
    </w:p>
    <w:p w14:paraId="55038101" w14:textId="77777777" w:rsidR="002A4D47" w:rsidRPr="00564591" w:rsidRDefault="00000000" w:rsidP="002A4D47">
      <w:pPr>
        <w:numPr>
          <w:ilvl w:val="0"/>
          <w:numId w:val="1"/>
        </w:numPr>
        <w:spacing w:before="100" w:beforeAutospacing="1" w:after="100" w:afterAutospacing="1"/>
        <w:rPr>
          <w:rFonts w:ascii="PT Serif" w:eastAsia="Times New Roman" w:hAnsi="PT Serif" w:cs="Times New Roman"/>
          <w:lang w:eastAsia="ru-RU"/>
        </w:rPr>
      </w:pPr>
      <w:hyperlink r:id="rId8" w:anchor="Ladhsion" w:history="1">
        <w:r w:rsidR="002A4D47" w:rsidRPr="00564591">
          <w:rPr>
            <w:rFonts w:ascii="PT Serif" w:eastAsia="Times New Roman" w:hAnsi="PT Serif" w:cs="Times New Roman"/>
            <w:lang w:eastAsia="ru-RU"/>
          </w:rPr>
          <w:t>L’adhésion</w:t>
        </w:r>
      </w:hyperlink>
    </w:p>
    <w:p w14:paraId="7D6E7DF1" w14:textId="7E2FF0DD" w:rsidR="00836D17" w:rsidRPr="00564591" w:rsidRDefault="00000000" w:rsidP="002A4D47">
      <w:pPr>
        <w:numPr>
          <w:ilvl w:val="0"/>
          <w:numId w:val="1"/>
        </w:numPr>
        <w:spacing w:before="100" w:beforeAutospacing="1" w:after="100" w:afterAutospacing="1"/>
        <w:rPr>
          <w:rFonts w:ascii="PT Serif" w:eastAsia="Times New Roman" w:hAnsi="PT Serif" w:cs="Times New Roman"/>
          <w:lang w:eastAsia="ru-RU"/>
        </w:rPr>
      </w:pPr>
      <w:hyperlink r:id="rId9" w:anchor="Lexamen-critique" w:history="1">
        <w:r w:rsidR="002A4D47" w:rsidRPr="00564591">
          <w:rPr>
            <w:rFonts w:ascii="PT Serif" w:eastAsia="Times New Roman" w:hAnsi="PT Serif" w:cs="Times New Roman"/>
            <w:lang w:eastAsia="ru-RU"/>
          </w:rPr>
          <w:t>L’examen critique</w:t>
        </w:r>
      </w:hyperlink>
    </w:p>
    <w:p w14:paraId="1038431A" w14:textId="20E0B59D" w:rsidR="00564591" w:rsidRPr="00564591" w:rsidRDefault="00564591" w:rsidP="00564591">
      <w:pPr>
        <w:spacing w:before="100" w:beforeAutospacing="1" w:after="100" w:afterAutospacing="1"/>
        <w:ind w:left="720"/>
        <w:rPr>
          <w:rFonts w:ascii="PT Serif" w:eastAsia="Times New Roman" w:hAnsi="PT Serif" w:cs="Times New Roman"/>
          <w:lang w:val="fr-CA" w:eastAsia="ru-RU"/>
        </w:rPr>
      </w:pPr>
      <w:r w:rsidRPr="00564591">
        <w:rPr>
          <w:rFonts w:ascii="PT Serif" w:eastAsia="Times New Roman" w:hAnsi="PT Serif" w:cs="Times New Roman"/>
          <w:lang w:val="fr-CA" w:eastAsia="ru-RU"/>
        </w:rPr>
        <w:t>L’objectif du discours argumentatif</w:t>
      </w:r>
      <w:r>
        <w:rPr>
          <w:rFonts w:ascii="PT Serif" w:eastAsia="Times New Roman" w:hAnsi="PT Serif" w:cs="Times New Roman"/>
          <w:lang w:val="fr-CA" w:eastAsia="ru-RU"/>
        </w:rPr>
        <w:t xml:space="preserve"> est de défendre ou de combattre un point de vue. Le choix d’une stratégie d’argumentation se </w:t>
      </w:r>
      <w:r>
        <w:rPr>
          <w:rFonts w:ascii="PT Serif" w:eastAsia="Times New Roman" w:hAnsi="PT Serif" w:cs="Times New Roman"/>
          <w:lang w:val="fr-CA" w:eastAsia="ru-RU"/>
        </w:rPr>
        <w:t>détermine</w:t>
      </w:r>
      <w:r>
        <w:rPr>
          <w:rFonts w:ascii="PT Serif" w:eastAsia="Times New Roman" w:hAnsi="PT Serif" w:cs="Times New Roman"/>
          <w:lang w:val="fr-CA" w:eastAsia="ru-RU"/>
        </w:rPr>
        <w:t xml:space="preserve"> en fonction de l’enjeu, du thème et de la situation d’argumenttion.</w:t>
      </w:r>
    </w:p>
    <w:p w14:paraId="504C9C4F" w14:textId="77777777" w:rsidR="002A4D47" w:rsidRPr="00564591" w:rsidRDefault="002A4D47" w:rsidP="002A4D47">
      <w:pPr>
        <w:spacing w:before="100" w:beforeAutospacing="1" w:after="100" w:afterAutospacing="1"/>
        <w:outlineLvl w:val="4"/>
        <w:rPr>
          <w:rFonts w:ascii="PT Serif" w:eastAsia="Times New Roman" w:hAnsi="PT Serif" w:cs="Times New Roman"/>
          <w:b/>
          <w:bCs/>
          <w:color w:val="000000"/>
          <w:sz w:val="28"/>
          <w:szCs w:val="28"/>
          <w:lang w:eastAsia="ru-RU"/>
        </w:rPr>
      </w:pPr>
      <w:r w:rsidRPr="00564591">
        <w:rPr>
          <w:rFonts w:ascii="PT Serif" w:eastAsia="Times New Roman" w:hAnsi="PT Serif" w:cs="Times New Roman"/>
          <w:b/>
          <w:bCs/>
          <w:color w:val="FF9900"/>
          <w:sz w:val="28"/>
          <w:szCs w:val="28"/>
          <w:lang w:eastAsia="ru-RU"/>
        </w:rPr>
        <w:t>La réfutation</w:t>
      </w:r>
    </w:p>
    <w:p w14:paraId="26155CFD" w14:textId="77777777" w:rsidR="002A4D47" w:rsidRPr="002A4D47" w:rsidRDefault="002A4D47" w:rsidP="002A4D47">
      <w:pPr>
        <w:spacing w:before="100" w:beforeAutospacing="1" w:after="100" w:afterAutospacing="1"/>
        <w:rPr>
          <w:rFonts w:ascii="PT Serif" w:eastAsia="Times New Roman" w:hAnsi="PT Serif" w:cs="Times New Roman"/>
          <w:color w:val="363636"/>
          <w:lang w:eastAsia="ru-RU"/>
        </w:rPr>
      </w:pPr>
      <w:r w:rsidRPr="002A4D47">
        <w:rPr>
          <w:rFonts w:ascii="PT Serif" w:eastAsia="Times New Roman" w:hAnsi="PT Serif" w:cs="Times New Roman"/>
          <w:b/>
          <w:bCs/>
          <w:color w:val="363636"/>
          <w:lang w:eastAsia="ru-RU"/>
        </w:rPr>
        <w:t>La</w:t>
      </w:r>
      <w:r w:rsidRPr="002A4D47">
        <w:rPr>
          <w:rFonts w:ascii="PT Serif" w:eastAsia="Times New Roman" w:hAnsi="PT Serif" w:cs="Times New Roman"/>
          <w:color w:val="363636"/>
          <w:lang w:eastAsia="ru-RU"/>
        </w:rPr>
        <w:t> </w:t>
      </w:r>
      <w:r w:rsidRPr="002A4D47">
        <w:rPr>
          <w:rFonts w:ascii="PT Serif" w:eastAsia="Times New Roman" w:hAnsi="PT Serif" w:cs="Times New Roman"/>
          <w:b/>
          <w:bCs/>
          <w:color w:val="363636"/>
          <w:lang w:eastAsia="ru-RU"/>
        </w:rPr>
        <w:t>réfutation</w:t>
      </w:r>
      <w:r w:rsidRPr="002A4D47">
        <w:rPr>
          <w:rFonts w:ascii="PT Serif" w:eastAsia="Times New Roman" w:hAnsi="PT Serif" w:cs="Times New Roman"/>
          <w:color w:val="363636"/>
          <w:lang w:eastAsia="ru-RU"/>
        </w:rPr>
        <w:t> consiste à examiner chacun des arguments avancés par une thèse pour en contester le bien-fondé. Au terme de cette réfutation, l’auteur propose une thèse nouvelle qui formule son propre point de vue sur la question.</w:t>
      </w:r>
    </w:p>
    <w:p w14:paraId="1C9D2B08" w14:textId="77777777" w:rsidR="002A4D47" w:rsidRPr="00564591" w:rsidRDefault="002A4D47" w:rsidP="002A4D47">
      <w:pPr>
        <w:spacing w:before="100" w:beforeAutospacing="1" w:after="100" w:afterAutospacing="1"/>
        <w:outlineLvl w:val="4"/>
        <w:rPr>
          <w:rFonts w:ascii="PT Serif" w:eastAsia="Times New Roman" w:hAnsi="PT Serif" w:cs="Times New Roman"/>
          <w:b/>
          <w:bCs/>
          <w:color w:val="000000"/>
          <w:sz w:val="28"/>
          <w:szCs w:val="28"/>
          <w:lang w:eastAsia="ru-RU"/>
        </w:rPr>
      </w:pPr>
      <w:r w:rsidRPr="00564591">
        <w:rPr>
          <w:rFonts w:ascii="PT Serif" w:eastAsia="Times New Roman" w:hAnsi="PT Serif" w:cs="Times New Roman"/>
          <w:b/>
          <w:bCs/>
          <w:color w:val="FF9900"/>
          <w:sz w:val="28"/>
          <w:szCs w:val="28"/>
          <w:lang w:eastAsia="ru-RU"/>
        </w:rPr>
        <w:t>La concession</w:t>
      </w:r>
    </w:p>
    <w:p w14:paraId="54889292" w14:textId="77777777" w:rsidR="002A4D47" w:rsidRPr="002A4D47" w:rsidRDefault="002A4D47" w:rsidP="002A4D47">
      <w:pPr>
        <w:spacing w:before="100" w:beforeAutospacing="1" w:after="100" w:afterAutospacing="1"/>
        <w:rPr>
          <w:rFonts w:ascii="PT Serif" w:eastAsia="Times New Roman" w:hAnsi="PT Serif" w:cs="Times New Roman"/>
          <w:color w:val="363636"/>
          <w:lang w:eastAsia="ru-RU"/>
        </w:rPr>
      </w:pPr>
      <w:r w:rsidRPr="002A4D47">
        <w:rPr>
          <w:rFonts w:ascii="PT Serif" w:eastAsia="Times New Roman" w:hAnsi="PT Serif" w:cs="Times New Roman"/>
          <w:color w:val="363636"/>
          <w:lang w:eastAsia="ru-RU"/>
        </w:rPr>
        <w:t>Faire </w:t>
      </w:r>
      <w:r w:rsidRPr="002A4D47">
        <w:rPr>
          <w:rFonts w:ascii="PT Serif" w:eastAsia="Times New Roman" w:hAnsi="PT Serif" w:cs="Times New Roman"/>
          <w:b/>
          <w:bCs/>
          <w:color w:val="363636"/>
          <w:lang w:eastAsia="ru-RU"/>
        </w:rPr>
        <w:t>une concession</w:t>
      </w:r>
      <w:r w:rsidRPr="002A4D47">
        <w:rPr>
          <w:rFonts w:ascii="PT Serif" w:eastAsia="Times New Roman" w:hAnsi="PT Serif" w:cs="Times New Roman"/>
          <w:color w:val="363636"/>
          <w:lang w:eastAsia="ru-RU"/>
        </w:rPr>
        <w:t>, c’est accepter un aspect d’une thèse adverse, soit pour montrer qu’on y adhère partiellement, soit pour anticiper une éventuelle objection. La concession se signale par des mots ou expressions tels que « </w:t>
      </w:r>
      <w:r w:rsidRPr="002A4D47">
        <w:rPr>
          <w:rFonts w:ascii="PT Serif" w:eastAsia="Times New Roman" w:hAnsi="PT Serif" w:cs="Times New Roman"/>
          <w:i/>
          <w:iCs/>
          <w:color w:val="363636"/>
          <w:lang w:eastAsia="ru-RU"/>
        </w:rPr>
        <w:t>certes…. mais… </w:t>
      </w:r>
      <w:r w:rsidRPr="002A4D47">
        <w:rPr>
          <w:rFonts w:ascii="PT Serif" w:eastAsia="Times New Roman" w:hAnsi="PT Serif" w:cs="Times New Roman"/>
          <w:color w:val="363636"/>
          <w:lang w:eastAsia="ru-RU"/>
        </w:rPr>
        <w:t>», « </w:t>
      </w:r>
      <w:r w:rsidRPr="002A4D47">
        <w:rPr>
          <w:rFonts w:ascii="PT Serif" w:eastAsia="Times New Roman" w:hAnsi="PT Serif" w:cs="Times New Roman"/>
          <w:i/>
          <w:iCs/>
          <w:color w:val="363636"/>
          <w:lang w:eastAsia="ru-RU"/>
        </w:rPr>
        <w:t>vous allez me dire que… mais je vous répondrai que… </w:t>
      </w:r>
      <w:r w:rsidRPr="002A4D47">
        <w:rPr>
          <w:rFonts w:ascii="PT Serif" w:eastAsia="Times New Roman" w:hAnsi="PT Serif" w:cs="Times New Roman"/>
          <w:color w:val="363636"/>
          <w:lang w:eastAsia="ru-RU"/>
        </w:rPr>
        <w:t>», «</w:t>
      </w:r>
      <w:r w:rsidRPr="002A4D47">
        <w:rPr>
          <w:rFonts w:ascii="PT Serif" w:eastAsia="Times New Roman" w:hAnsi="PT Serif" w:cs="Times New Roman"/>
          <w:i/>
          <w:iCs/>
          <w:color w:val="363636"/>
          <w:lang w:eastAsia="ru-RU"/>
        </w:rPr>
        <w:t> certains pensent que… mais…</w:t>
      </w:r>
      <w:r w:rsidRPr="002A4D47">
        <w:rPr>
          <w:rFonts w:ascii="PT Serif" w:eastAsia="Times New Roman" w:hAnsi="PT Serif" w:cs="Times New Roman"/>
          <w:color w:val="363636"/>
          <w:lang w:eastAsia="ru-RU"/>
        </w:rPr>
        <w:t> », « </w:t>
      </w:r>
      <w:r w:rsidRPr="002A4D47">
        <w:rPr>
          <w:rFonts w:ascii="PT Serif" w:eastAsia="Times New Roman" w:hAnsi="PT Serif" w:cs="Times New Roman"/>
          <w:i/>
          <w:iCs/>
          <w:color w:val="363636"/>
          <w:lang w:eastAsia="ru-RU"/>
        </w:rPr>
        <w:t>on pourrait m’objecter que… mais…</w:t>
      </w:r>
      <w:r w:rsidRPr="002A4D47">
        <w:rPr>
          <w:rFonts w:ascii="PT Serif" w:eastAsia="Times New Roman" w:hAnsi="PT Serif" w:cs="Times New Roman"/>
          <w:color w:val="363636"/>
          <w:lang w:eastAsia="ru-RU"/>
        </w:rPr>
        <w:t> ».</w:t>
      </w:r>
    </w:p>
    <w:p w14:paraId="166BBB84" w14:textId="77777777" w:rsidR="002A4D47" w:rsidRPr="00564591" w:rsidRDefault="002A4D47" w:rsidP="002A4D47">
      <w:pPr>
        <w:spacing w:before="100" w:beforeAutospacing="1" w:after="100" w:afterAutospacing="1"/>
        <w:outlineLvl w:val="4"/>
        <w:rPr>
          <w:rFonts w:ascii="PT Serif" w:eastAsia="Times New Roman" w:hAnsi="PT Serif" w:cs="Times New Roman"/>
          <w:b/>
          <w:bCs/>
          <w:color w:val="000000"/>
          <w:sz w:val="28"/>
          <w:szCs w:val="28"/>
          <w:lang w:eastAsia="ru-RU"/>
        </w:rPr>
      </w:pPr>
      <w:r w:rsidRPr="00564591">
        <w:rPr>
          <w:rFonts w:ascii="PT Serif" w:eastAsia="Times New Roman" w:hAnsi="PT Serif" w:cs="Times New Roman"/>
          <w:b/>
          <w:bCs/>
          <w:color w:val="FF9900"/>
          <w:sz w:val="28"/>
          <w:szCs w:val="28"/>
          <w:lang w:eastAsia="ru-RU"/>
        </w:rPr>
        <w:t>La confrontation</w:t>
      </w:r>
    </w:p>
    <w:p w14:paraId="3E056D94" w14:textId="77777777" w:rsidR="002A4D47" w:rsidRPr="002A4D47" w:rsidRDefault="002A4D47" w:rsidP="002A4D47">
      <w:pPr>
        <w:spacing w:before="100" w:beforeAutospacing="1" w:after="100" w:afterAutospacing="1"/>
        <w:rPr>
          <w:rFonts w:ascii="PT Serif" w:eastAsia="Times New Roman" w:hAnsi="PT Serif" w:cs="Times New Roman"/>
          <w:color w:val="363636"/>
          <w:lang w:eastAsia="ru-RU"/>
        </w:rPr>
      </w:pPr>
      <w:r w:rsidRPr="002A4D47">
        <w:rPr>
          <w:rFonts w:ascii="PT Serif" w:eastAsia="Times New Roman" w:hAnsi="PT Serif" w:cs="Times New Roman"/>
          <w:b/>
          <w:bCs/>
          <w:color w:val="363636"/>
          <w:lang w:eastAsia="ru-RU"/>
        </w:rPr>
        <w:t>La</w:t>
      </w:r>
      <w:r w:rsidRPr="002A4D47">
        <w:rPr>
          <w:rFonts w:ascii="PT Serif" w:eastAsia="Times New Roman" w:hAnsi="PT Serif" w:cs="Times New Roman"/>
          <w:color w:val="363636"/>
          <w:lang w:eastAsia="ru-RU"/>
        </w:rPr>
        <w:t> </w:t>
      </w:r>
      <w:r w:rsidRPr="002A4D47">
        <w:rPr>
          <w:rFonts w:ascii="PT Serif" w:eastAsia="Times New Roman" w:hAnsi="PT Serif" w:cs="Times New Roman"/>
          <w:b/>
          <w:bCs/>
          <w:color w:val="363636"/>
          <w:lang w:eastAsia="ru-RU"/>
        </w:rPr>
        <w:t>confrontation</w:t>
      </w:r>
      <w:r w:rsidRPr="002A4D47">
        <w:rPr>
          <w:rFonts w:ascii="PT Serif" w:eastAsia="Times New Roman" w:hAnsi="PT Serif" w:cs="Times New Roman"/>
          <w:color w:val="363636"/>
          <w:lang w:eastAsia="ru-RU"/>
        </w:rPr>
        <w:t> compare chacun des deux argumentations, montre les points de divergence et de convergence. Elle aboutit à l’expression d’un point de vue personnel sur la question. Deux thèses différentes ne signifient pas obligatoirement deux points de vue diamétralement opposés sur un même sujet.</w:t>
      </w:r>
    </w:p>
    <w:p w14:paraId="71498A33" w14:textId="77777777" w:rsidR="002A4D47" w:rsidRPr="00564591" w:rsidRDefault="002A4D47" w:rsidP="002A4D47">
      <w:pPr>
        <w:spacing w:before="100" w:beforeAutospacing="1" w:after="100" w:afterAutospacing="1"/>
        <w:outlineLvl w:val="4"/>
        <w:rPr>
          <w:rFonts w:ascii="PT Serif" w:eastAsia="Times New Roman" w:hAnsi="PT Serif" w:cs="Times New Roman"/>
          <w:b/>
          <w:bCs/>
          <w:color w:val="000000"/>
          <w:sz w:val="28"/>
          <w:szCs w:val="28"/>
          <w:lang w:eastAsia="ru-RU"/>
        </w:rPr>
      </w:pPr>
      <w:r w:rsidRPr="00564591">
        <w:rPr>
          <w:rFonts w:ascii="PT Serif" w:eastAsia="Times New Roman" w:hAnsi="PT Serif" w:cs="Times New Roman"/>
          <w:b/>
          <w:bCs/>
          <w:color w:val="FF9900"/>
          <w:sz w:val="28"/>
          <w:szCs w:val="28"/>
          <w:lang w:eastAsia="ru-RU"/>
        </w:rPr>
        <w:t>L’adhésion</w:t>
      </w:r>
    </w:p>
    <w:p w14:paraId="2D47B2A6" w14:textId="77777777" w:rsidR="002A4D47" w:rsidRPr="002A4D47" w:rsidRDefault="002A4D47" w:rsidP="002A4D47">
      <w:pPr>
        <w:spacing w:before="100" w:beforeAutospacing="1" w:after="100" w:afterAutospacing="1"/>
        <w:rPr>
          <w:rFonts w:ascii="PT Serif" w:eastAsia="Times New Roman" w:hAnsi="PT Serif" w:cs="Times New Roman"/>
          <w:color w:val="363636"/>
          <w:lang w:eastAsia="ru-RU"/>
        </w:rPr>
      </w:pPr>
      <w:r w:rsidRPr="002A4D47">
        <w:rPr>
          <w:rFonts w:ascii="PT Serif" w:eastAsia="Times New Roman" w:hAnsi="PT Serif" w:cs="Times New Roman"/>
          <w:b/>
          <w:bCs/>
          <w:color w:val="363636"/>
          <w:lang w:eastAsia="ru-RU"/>
        </w:rPr>
        <w:t>L’adhésion </w:t>
      </w:r>
      <w:r w:rsidRPr="002A4D47">
        <w:rPr>
          <w:rFonts w:ascii="PT Serif" w:eastAsia="Times New Roman" w:hAnsi="PT Serif" w:cs="Times New Roman"/>
          <w:color w:val="363636"/>
          <w:lang w:eastAsia="ru-RU"/>
        </w:rPr>
        <w:t>épouse totalement la thèse développée par un auteur. Marquer son adhésion à une thèse revient à en démontrer le bien-fondé par des arguments.</w:t>
      </w:r>
    </w:p>
    <w:p w14:paraId="514212EF" w14:textId="77777777" w:rsidR="00E41869" w:rsidRDefault="00E41869" w:rsidP="00564591">
      <w:pPr>
        <w:spacing w:before="100" w:beforeAutospacing="1" w:after="100" w:afterAutospacing="1"/>
        <w:outlineLvl w:val="4"/>
        <w:rPr>
          <w:rFonts w:ascii="PT Serif" w:eastAsia="Times New Roman" w:hAnsi="PT Serif" w:cs="Times New Roman"/>
          <w:b/>
          <w:bCs/>
          <w:color w:val="FF9900"/>
          <w:sz w:val="20"/>
          <w:szCs w:val="20"/>
          <w:lang w:eastAsia="ru-RU"/>
        </w:rPr>
      </w:pPr>
    </w:p>
    <w:p w14:paraId="295F5CF3" w14:textId="4A7DA57A" w:rsidR="00E41869" w:rsidRDefault="002A4D47" w:rsidP="00564591">
      <w:pPr>
        <w:spacing w:before="100" w:beforeAutospacing="1" w:after="100" w:afterAutospacing="1"/>
        <w:outlineLvl w:val="4"/>
        <w:rPr>
          <w:rFonts w:ascii="PT Serif" w:eastAsia="Times New Roman" w:hAnsi="PT Serif" w:cs="Times New Roman"/>
          <w:b/>
          <w:bCs/>
          <w:color w:val="FF9900"/>
          <w:sz w:val="20"/>
          <w:szCs w:val="20"/>
          <w:lang w:val="fr-CA" w:eastAsia="ru-RU"/>
        </w:rPr>
      </w:pPr>
      <w:r w:rsidRPr="002A4D47">
        <w:rPr>
          <w:rFonts w:ascii="PT Serif" w:eastAsia="Times New Roman" w:hAnsi="PT Serif" w:cs="Times New Roman"/>
          <w:b/>
          <w:bCs/>
          <w:color w:val="FF9900"/>
          <w:sz w:val="20"/>
          <w:szCs w:val="20"/>
          <w:lang w:eastAsia="ru-RU"/>
        </w:rPr>
        <w:lastRenderedPageBreak/>
        <w:t>L’examen critique</w:t>
      </w:r>
      <w:r w:rsidR="00564591">
        <w:rPr>
          <w:rFonts w:ascii="PT Serif" w:eastAsia="Times New Roman" w:hAnsi="PT Serif" w:cs="Times New Roman"/>
          <w:b/>
          <w:bCs/>
          <w:color w:val="FF9900"/>
          <w:sz w:val="20"/>
          <w:szCs w:val="20"/>
          <w:lang w:val="fr-CA" w:eastAsia="ru-RU"/>
        </w:rPr>
        <w:t xml:space="preserve"> </w:t>
      </w:r>
    </w:p>
    <w:p w14:paraId="5BB8A9DF" w14:textId="375A96FE" w:rsidR="002A4D47" w:rsidRPr="00564591" w:rsidRDefault="002A4D47" w:rsidP="00564591">
      <w:pPr>
        <w:spacing w:before="100" w:beforeAutospacing="1" w:after="100" w:afterAutospacing="1"/>
        <w:outlineLvl w:val="4"/>
        <w:rPr>
          <w:rFonts w:ascii="PT Serif" w:eastAsia="Times New Roman" w:hAnsi="PT Serif" w:cs="Times New Roman"/>
          <w:b/>
          <w:bCs/>
          <w:color w:val="000000"/>
          <w:sz w:val="20"/>
          <w:szCs w:val="20"/>
          <w:lang w:eastAsia="ru-RU"/>
        </w:rPr>
      </w:pPr>
      <w:r w:rsidRPr="002A4D47">
        <w:rPr>
          <w:rFonts w:ascii="PT Serif" w:eastAsia="Times New Roman" w:hAnsi="PT Serif" w:cs="Times New Roman"/>
          <w:b/>
          <w:bCs/>
          <w:color w:val="363636"/>
          <w:lang w:eastAsia="ru-RU"/>
        </w:rPr>
        <w:t>L’examen critique</w:t>
      </w:r>
      <w:r w:rsidRPr="002A4D47">
        <w:rPr>
          <w:rFonts w:ascii="PT Serif" w:eastAsia="Times New Roman" w:hAnsi="PT Serif" w:cs="Times New Roman"/>
          <w:color w:val="363636"/>
          <w:lang w:eastAsia="ru-RU"/>
        </w:rPr>
        <w:t> passe en revue les différents arguments qui étayent une thèse en montrant ses points forts et ses points faibles et en tirant un bilan de cette évaluation.</w:t>
      </w:r>
    </w:p>
    <w:p w14:paraId="5659A8CD" w14:textId="77777777" w:rsidR="002A4D47" w:rsidRPr="002A4D47" w:rsidRDefault="002A4D47" w:rsidP="002A4D47">
      <w:pPr>
        <w:rPr>
          <w:rFonts w:ascii="Times New Roman" w:eastAsia="Times New Roman" w:hAnsi="Times New Roman" w:cs="Times New Roman"/>
          <w:lang w:eastAsia="ru-RU"/>
        </w:rPr>
      </w:pPr>
    </w:p>
    <w:p w14:paraId="48ADA3AD" w14:textId="77777777" w:rsidR="002A4D47" w:rsidRDefault="002A4D47"/>
    <w:sectPr w:rsidR="002A4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PT Serif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4408C"/>
    <w:multiLevelType w:val="multilevel"/>
    <w:tmpl w:val="EE78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06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47"/>
    <w:rsid w:val="002A4D47"/>
    <w:rsid w:val="00564591"/>
    <w:rsid w:val="00836D17"/>
    <w:rsid w:val="00E4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ED70"/>
  <w15:chartTrackingRefBased/>
  <w15:docId w15:val="{2D882B71-23A0-9040-B3E0-4F5BEC0B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4D4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4D4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2A4D4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4D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4D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4D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A4D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2A4D47"/>
    <w:rPr>
      <w:color w:val="0000FF"/>
      <w:u w:val="single"/>
    </w:rPr>
  </w:style>
  <w:style w:type="character" w:styleId="a5">
    <w:name w:val="Strong"/>
    <w:basedOn w:val="a0"/>
    <w:uiPriority w:val="22"/>
    <w:qFormat/>
    <w:rsid w:val="002A4D47"/>
    <w:rPr>
      <w:b/>
      <w:bCs/>
    </w:rPr>
  </w:style>
  <w:style w:type="character" w:styleId="a6">
    <w:name w:val="Emphasis"/>
    <w:basedOn w:val="a0"/>
    <w:uiPriority w:val="20"/>
    <w:qFormat/>
    <w:rsid w:val="002A4D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11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pacefrancais.com/les-strategies-du-discours-argumentati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pacefrancais.com/les-strategies-du-discours-argumentati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pacefrancais.com/les-strategies-du-discours-argumentatif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spacefrancais.com/les-strategies-du-discours-argumentatif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spacefrancais.com/les-strategies-du-discours-argumentati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Федоровна</dc:creator>
  <cp:keywords/>
  <dc:description/>
  <cp:lastModifiedBy>Галина Федоровна</cp:lastModifiedBy>
  <cp:revision>2</cp:revision>
  <dcterms:created xsi:type="dcterms:W3CDTF">2020-08-23T15:49:00Z</dcterms:created>
  <dcterms:modified xsi:type="dcterms:W3CDTF">2022-09-01T19:24:00Z</dcterms:modified>
</cp:coreProperties>
</file>