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>
        <w:rPr>
          <w:caps/>
          <w:szCs w:val="28"/>
          <w:lang w:val="uk-UA"/>
        </w:rPr>
        <w:t xml:space="preserve"> СОЦІОЛОГІЇ ТА УПРАВЛІННЯ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навчальної дисципліни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СУЧАСНІ ПРОБЛЕМИ ЕСТЕТИКИ</w:t>
      </w:r>
    </w:p>
    <w:p>
      <w:pPr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доктор філософських наук, професор Кривега Людмила Дмитрівна</w:t>
      </w:r>
    </w:p>
    <w:p>
      <w:pPr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філософії</w:t>
      </w:r>
      <w:r>
        <w:rPr>
          <w:rFonts w:hint="default"/>
          <w:i/>
          <w:iCs/>
          <w:lang w:val="uk-UA"/>
        </w:rPr>
        <w:t>, публічного</w:t>
      </w:r>
      <w:r>
        <w:rPr>
          <w:i/>
          <w:iCs/>
          <w:lang w:val="uk-UA"/>
        </w:rPr>
        <w:t xml:space="preserve"> управління</w:t>
      </w:r>
      <w:r>
        <w:rPr>
          <w:rFonts w:hint="default"/>
          <w:i/>
          <w:iCs/>
          <w:lang w:val="uk-UA"/>
        </w:rPr>
        <w:t xml:space="preserve"> та соціальної роботи</w:t>
      </w:r>
      <w:bookmarkStart w:id="0" w:name="_GoBack"/>
      <w:bookmarkEnd w:id="0"/>
      <w:r>
        <w:rPr>
          <w:i/>
          <w:iCs/>
          <w:lang w:val="uk-UA"/>
        </w:rPr>
        <w:t>, ІУ корпус, ауд. 315,236.</w:t>
      </w:r>
    </w:p>
    <w:p>
      <w:pPr>
        <w:rPr>
          <w:i/>
          <w:iCs/>
          <w:lang w:val="en-GB" w:bidi="ar-EG"/>
        </w:rPr>
      </w:pPr>
      <w:r>
        <w:rPr>
          <w:b/>
          <w:bCs/>
          <w:lang w:val="uk-UA"/>
        </w:rPr>
        <w:t xml:space="preserve">E-mail: </w:t>
      </w:r>
      <w:r>
        <w:rPr>
          <w:i/>
          <w:iCs/>
          <w:lang w:val="en-GB" w:bidi="ar-EG"/>
        </w:rPr>
        <w:t>ukra29@i.ua</w:t>
      </w:r>
    </w:p>
    <w:p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(061) 2</w:t>
      </w:r>
      <w:r>
        <w:rPr>
          <w:i/>
          <w:iCs/>
          <w:lang w:val="en-GB"/>
        </w:rPr>
        <w:t>2</w:t>
      </w:r>
      <w:r>
        <w:rPr>
          <w:i/>
          <w:iCs/>
          <w:lang w:val="uk-UA"/>
        </w:rPr>
        <w:t>8-</w:t>
      </w:r>
      <w:r>
        <w:rPr>
          <w:i/>
          <w:iCs/>
          <w:lang w:val="en-GB"/>
        </w:rPr>
        <w:t>75</w:t>
      </w:r>
      <w:r>
        <w:rPr>
          <w:i/>
          <w:iCs/>
          <w:lang w:val="uk-UA"/>
        </w:rPr>
        <w:t>-7</w:t>
      </w:r>
      <w:r>
        <w:rPr>
          <w:i/>
          <w:iCs/>
          <w:lang w:val="en-GB"/>
        </w:rPr>
        <w:t>3</w:t>
      </w:r>
    </w:p>
    <w:p>
      <w:pPr>
        <w:rPr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повідомлення), </w:t>
      </w:r>
      <w:r>
        <w:rPr>
          <w:i/>
          <w:iCs/>
        </w:rPr>
        <w:t>Viber</w:t>
      </w:r>
      <w:r>
        <w:rPr>
          <w:i/>
          <w:iCs/>
          <w:lang w:val="uk-UA"/>
        </w:rPr>
        <w:t xml:space="preserve">, </w:t>
      </w:r>
      <w:r>
        <w:rPr>
          <w:i/>
          <w:iCs/>
        </w:rPr>
        <w:t>Skype</w:t>
      </w:r>
    </w:p>
    <w:p>
      <w:pPr>
        <w:rPr>
          <w:lang w:val="uk-UA"/>
        </w:rPr>
      </w:pPr>
    </w:p>
    <w:tbl>
      <w:tblPr>
        <w:tblStyle w:val="8"/>
        <w:tblW w:w="1017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  <w:tcBorders>
              <w:top w:val="single" w:color="000000" w:sz="4" w:space="0"/>
            </w:tcBorders>
          </w:tcPr>
          <w:p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програма, рівень вищої освіти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color="000000" w:sz="4" w:space="0"/>
            </w:tcBorders>
          </w:tcPr>
          <w:p>
            <w:pPr>
              <w:spacing w:after="20"/>
              <w:rPr>
                <w:rFonts w:eastAsia="Times New Roman"/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szCs w:val="28"/>
                <w:lang w:val="uk-UA"/>
              </w:rPr>
              <w:t>Освітні програми</w:t>
            </w:r>
            <w:r>
              <w:rPr>
                <w:szCs w:val="28"/>
                <w:lang w:val="uk-UA"/>
              </w:rPr>
              <w:t>: «Європейські філософські    студії і креативні індустрії», магістерський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>
            <w:pPr>
              <w:spacing w:after="20"/>
              <w:rPr>
                <w:lang w:val="uk-UA"/>
              </w:rPr>
            </w:pPr>
            <w:r>
              <w:rPr>
                <w:lang w:val="ru-RU"/>
              </w:rPr>
              <w:t>Нормативна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>
            <w:pPr>
              <w:rPr>
                <w:rFonts w:eastAsia="Times New Roman"/>
                <w:lang w:val="uk-UA"/>
              </w:rPr>
            </w:pPr>
          </w:p>
        </w:tc>
        <w:tc>
          <w:tcPr>
            <w:tcW w:w="1388" w:type="dxa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2022-2023</w:t>
            </w:r>
          </w:p>
        </w:tc>
        <w:tc>
          <w:tcPr>
            <w:tcW w:w="1417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>
            <w:pPr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Кількість змістових модулів</w:t>
            </w:r>
            <w:r>
              <w:rPr>
                <w:rStyle w:val="9"/>
                <w:b/>
                <w:bCs/>
                <w:lang w:val="uk-UA"/>
              </w:rPr>
              <w:footnoteReference w:id="0"/>
            </w:r>
          </w:p>
        </w:tc>
        <w:tc>
          <w:tcPr>
            <w:tcW w:w="1389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65" w:type="dxa"/>
            <w:gridSpan w:val="4"/>
          </w:tcPr>
          <w:p>
            <w:pPr>
              <w:rPr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  28</w:t>
            </w:r>
          </w:p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–28</w:t>
            </w:r>
          </w:p>
          <w:p>
            <w:pPr>
              <w:rPr>
                <w:rFonts w:eastAsia="Times New Roman"/>
                <w:lang w:val="uk-UA"/>
              </w:rPr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6" w:type="dxa"/>
            <w:gridSpan w:val="2"/>
          </w:tcPr>
          <w:p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>
            <w:pPr>
              <w:rPr>
                <w:rFonts w:eastAsia="Times New Roman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24" w:type="dxa"/>
            <w:gridSpan w:val="3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>
            <w:pPr>
              <w:rPr>
                <w:rFonts w:eastAsia="Times New Roman"/>
                <w:lang w:val="uk-UA"/>
              </w:rPr>
            </w:pPr>
            <w:r>
              <w:fldChar w:fldCharType="begin"/>
            </w:r>
            <w:r>
              <w:instrText xml:space="preserve"> HYPERLINK "https://moodle.znu.edu.ua/course/view.php?id=" </w:instrText>
            </w:r>
            <w:r>
              <w:fldChar w:fldCharType="separate"/>
            </w:r>
            <w:r>
              <w:rPr>
                <w:rStyle w:val="11"/>
              </w:rPr>
              <w:t>https</w:t>
            </w:r>
            <w:r>
              <w:rPr>
                <w:rStyle w:val="11"/>
                <w:lang w:val="uk-UA"/>
              </w:rPr>
              <w:t>://</w:t>
            </w:r>
            <w:r>
              <w:rPr>
                <w:rStyle w:val="11"/>
              </w:rPr>
              <w:t>moodle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znu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edu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ua</w:t>
            </w:r>
            <w:r>
              <w:rPr>
                <w:rStyle w:val="11"/>
                <w:lang w:val="uk-UA"/>
              </w:rPr>
              <w:t>/</w:t>
            </w:r>
            <w:r>
              <w:rPr>
                <w:rStyle w:val="11"/>
                <w:lang w:val="uk-UA"/>
              </w:rPr>
              <w:fldChar w:fldCharType="end"/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78" w:type="dxa"/>
            <w:gridSpan w:val="8"/>
            <w:tcBorders>
              <w:bottom w:val="single" w:color="000000" w:sz="4" w:space="0"/>
            </w:tcBorders>
          </w:tcPr>
          <w:p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особисті – п</w:t>
            </w:r>
            <w:r>
              <w:rPr>
                <w:i/>
                <w:iCs/>
                <w:lang w:val="uk-UA" w:bidi="ar-EG"/>
              </w:rPr>
              <w:t xml:space="preserve">’ятниця </w:t>
            </w:r>
            <w:r>
              <w:rPr>
                <w:i/>
                <w:iCs/>
                <w:lang w:val="uk-UA"/>
              </w:rPr>
              <w:t xml:space="preserve"> з 11:00 до 13:00, У корпус, ауд. 302; дистанційні – </w:t>
            </w:r>
            <w:r>
              <w:rPr>
                <w:rFonts w:hint="cs"/>
                <w:i/>
                <w:iCs/>
                <w:rtl/>
                <w:lang w:val="uk-UA" w:bidi="ar-EG"/>
              </w:rPr>
              <w:t>ٍ</w:t>
            </w:r>
            <w:r>
              <w:rPr>
                <w:i/>
                <w:iCs/>
                <w:lang w:val="en-GB" w:bidi="ar-EG"/>
              </w:rPr>
              <w:t>Skype</w:t>
            </w:r>
            <w:r>
              <w:rPr>
                <w:i/>
                <w:iCs/>
                <w:lang w:val="uk-UA" w:bidi="ar-EG"/>
              </w:rPr>
              <w:t xml:space="preserve">, </w:t>
            </w:r>
            <w:r>
              <w:rPr>
                <w:i/>
                <w:iCs/>
                <w:lang w:val="en-GB" w:bidi="ar-EG"/>
              </w:rPr>
              <w:t>Zoom</w:t>
            </w:r>
            <w:r>
              <w:rPr>
                <w:i/>
                <w:iCs/>
                <w:lang w:val="uk-UA" w:bidi="ar-EG"/>
              </w:rPr>
              <w:t xml:space="preserve"> -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  <w:p>
            <w:pPr>
              <w:rPr>
                <w:lang w:val="uk-UA" w:bidi="ar-EG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>
              <w:rPr>
                <w:lang w:val="uk-UA"/>
              </w:rPr>
              <w:t xml:space="preserve">е-mail: </w:t>
            </w:r>
            <w:r>
              <w:rPr>
                <w:lang w:val="en-GB" w:bidi="ar-EG"/>
              </w:rPr>
              <w:t>ukra</w:t>
            </w:r>
            <w:r>
              <w:rPr>
                <w:lang w:val="uk-UA" w:bidi="ar-EG"/>
              </w:rPr>
              <w:t>29@</w:t>
            </w:r>
            <w:r>
              <w:rPr>
                <w:lang w:val="en-GB" w:bidi="ar-EG"/>
              </w:rPr>
              <w:t>i</w:t>
            </w:r>
            <w:r>
              <w:rPr>
                <w:lang w:val="uk-UA" w:bidi="ar-EG"/>
              </w:rPr>
              <w:t>.</w:t>
            </w:r>
            <w:r>
              <w:rPr>
                <w:lang w:val="en-GB" w:bidi="ar-EG"/>
              </w:rPr>
              <w:t>ua</w:t>
            </w:r>
          </w:p>
          <w:p>
            <w:pPr>
              <w:rPr>
                <w:lang w:val="uk-UA"/>
              </w:rPr>
            </w:pPr>
          </w:p>
        </w:tc>
      </w:tr>
    </w:tbl>
    <w:p>
      <w:pPr>
        <w:rPr>
          <w:rStyle w:val="18"/>
          <w:b/>
          <w:bCs/>
          <w:u w:val="single"/>
          <w:lang w:val="uk-UA"/>
        </w:rPr>
      </w:pPr>
      <w:r>
        <w:rPr>
          <w:rStyle w:val="18"/>
          <w:b/>
          <w:bCs/>
          <w:u w:val="single"/>
          <w:lang w:val="uk-UA"/>
        </w:rPr>
        <w:t>--------------+</w:t>
      </w:r>
    </w:p>
    <w:p>
      <w:pPr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КУРСУ </w:t>
      </w:r>
      <w:r>
        <w:rPr>
          <w:i/>
          <w:iCs/>
          <w:lang w:val="uk-UA"/>
        </w:rPr>
        <w:t xml:space="preserve">    Курс має на меті </w:t>
      </w:r>
      <w:r>
        <w:rPr>
          <w:rFonts w:eastAsia="Calibri"/>
          <w:sz w:val="28"/>
          <w:szCs w:val="28"/>
          <w:lang w:val="uk-UA"/>
        </w:rPr>
        <w:t xml:space="preserve">ознайомлення студентів-магістрів </w:t>
      </w:r>
      <w:r>
        <w:rPr>
          <w:rFonts w:eastAsia="Calibri"/>
          <w:color w:val="000000"/>
          <w:spacing w:val="-6"/>
          <w:sz w:val="28"/>
          <w:szCs w:val="28"/>
          <w:lang w:val="uk-UA"/>
        </w:rPr>
        <w:t xml:space="preserve">із </w:t>
      </w:r>
      <w:r>
        <w:rPr>
          <w:rFonts w:eastAsia="Calibri"/>
          <w:sz w:val="28"/>
          <w:szCs w:val="28"/>
          <w:lang w:val="uk-UA"/>
        </w:rPr>
        <w:t xml:space="preserve">сутністю сучасних проблем естетики, з особливостями інтерпретації естетичної проблематики на сучасному етапі  розвитку філософської думки, засвоєння основних понять та категорій сучасної естетики. </w:t>
      </w:r>
      <w:r>
        <w:rPr>
          <w:rFonts w:eastAsia="Calibri"/>
          <w:sz w:val="28"/>
          <w:szCs w:val="28"/>
          <w:lang w:val="uk-UA" w:eastAsia="ru-RU"/>
        </w:rPr>
        <w:t>Завданнями</w:t>
      </w:r>
      <w:r>
        <w:rPr>
          <w:rFonts w:eastAsia="Calibri"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Calibri"/>
          <w:sz w:val="28"/>
          <w:szCs w:val="28"/>
          <w:lang w:val="uk-UA" w:eastAsia="ru-RU"/>
        </w:rPr>
        <w:t xml:space="preserve">навчальної дисципліни  «Сучасні проблеми естетики»  </w:t>
      </w:r>
      <w:r>
        <w:rPr>
          <w:rFonts w:eastAsia="Calibri"/>
          <w:sz w:val="28"/>
          <w:szCs w:val="28"/>
          <w:lang w:val="uk-UA"/>
        </w:rPr>
        <w:t>є: засвоєння найважливіших проблем, тенденцій розвитку та  категорій сучасної естетики, які обумовлені художнім простором сучасності; ознайомлення з тлумаченням естетичної проблематики у різних сучасних філософських течіях, школах, напрямках.</w:t>
      </w:r>
    </w:p>
    <w:p>
      <w:pPr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результаті вивчення навчальної дисципліни студент-магістр повинен набути таких результатів навчання (знання, уміння тощо) та компетентностей:</w:t>
      </w:r>
    </w:p>
    <w:p>
      <w:pPr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uk-UA" w:eastAsia="ru-RU"/>
        </w:rPr>
        <w:t>знати:</w:t>
      </w:r>
      <w:r>
        <w:rPr>
          <w:rFonts w:eastAsia="Calibri"/>
          <w:sz w:val="28"/>
          <w:szCs w:val="28"/>
          <w:lang w:val="uk-UA" w:eastAsia="ru-RU"/>
        </w:rPr>
        <w:t xml:space="preserve"> </w:t>
      </w:r>
    </w:p>
    <w:p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SimSun"/>
          <w:color w:val="000000"/>
          <w:sz w:val="28"/>
          <w:szCs w:val="28"/>
          <w:lang w:val="uk-UA" w:eastAsia="uk-UA"/>
        </w:rPr>
        <w:t xml:space="preserve">Основні сучасні проблеми естетики, </w:t>
      </w:r>
      <w:r>
        <w:rPr>
          <w:rFonts w:eastAsia="SimSun"/>
          <w:color w:val="000000"/>
          <w:sz w:val="28"/>
          <w:szCs w:val="28"/>
          <w:lang w:val="ru-RU" w:eastAsia="uk-UA"/>
        </w:rPr>
        <w:t>тенденції її розвитку;</w:t>
      </w:r>
    </w:p>
    <w:p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SimSun"/>
          <w:color w:val="000000"/>
          <w:sz w:val="28"/>
          <w:szCs w:val="28"/>
          <w:lang w:val="uk-UA" w:eastAsia="uk-UA"/>
        </w:rPr>
      </w:pPr>
      <w:r>
        <w:rPr>
          <w:rFonts w:eastAsia="SimSun"/>
          <w:color w:val="000000"/>
          <w:sz w:val="28"/>
          <w:szCs w:val="28"/>
          <w:lang w:val="ru-RU" w:eastAsia="uk-UA"/>
        </w:rPr>
        <w:t>Коло основних категорій естетики модернізму та постмодернізму</w:t>
      </w:r>
      <w:r>
        <w:rPr>
          <w:rFonts w:eastAsia="SimSun"/>
          <w:color w:val="000000"/>
          <w:sz w:val="28"/>
          <w:szCs w:val="28"/>
          <w:lang w:val="uk-UA" w:eastAsia="uk-UA"/>
        </w:rPr>
        <w:t>;</w:t>
      </w:r>
    </w:p>
    <w:p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autoSpaceDN w:val="0"/>
        <w:jc w:val="both"/>
        <w:textAlignment w:val="baseline"/>
        <w:rPr>
          <w:rFonts w:eastAsia="Calibri" w:cs="Arial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uk-UA" w:eastAsia="ru-RU"/>
        </w:rPr>
        <w:t>О</w:t>
      </w:r>
      <w:r>
        <w:rPr>
          <w:rFonts w:eastAsia="Calibri"/>
          <w:sz w:val="28"/>
          <w:szCs w:val="28"/>
          <w:lang w:val="ru-RU" w:eastAsia="ru-RU"/>
        </w:rPr>
        <w:t>сновні художні напрями та стилі  сучасного мистецтва та їх естетичне осмислення.</w:t>
      </w:r>
    </w:p>
    <w:p>
      <w:pPr>
        <w:tabs>
          <w:tab w:val="left" w:pos="284"/>
          <w:tab w:val="left" w:pos="567"/>
        </w:tabs>
        <w:suppressAutoHyphens/>
        <w:autoSpaceDN w:val="0"/>
        <w:ind w:left="720"/>
        <w:jc w:val="both"/>
        <w:textAlignment w:val="baseline"/>
        <w:rPr>
          <w:rFonts w:eastAsia="Calibri" w:cs="Arial"/>
          <w:sz w:val="28"/>
          <w:szCs w:val="28"/>
          <w:lang w:val="ru-RU"/>
        </w:rPr>
      </w:pPr>
      <w:r>
        <w:rPr>
          <w:rFonts w:eastAsia="Calibri" w:cs="Arial"/>
          <w:b/>
          <w:sz w:val="28"/>
          <w:szCs w:val="28"/>
          <w:lang w:val="uk-UA" w:eastAsia="ru-RU"/>
        </w:rPr>
        <w:t>вміти:</w:t>
      </w:r>
      <w:r>
        <w:rPr>
          <w:rFonts w:eastAsia="Calibri" w:cs="Arial"/>
          <w:sz w:val="28"/>
          <w:szCs w:val="28"/>
          <w:lang w:val="uk-UA" w:eastAsia="ru-RU"/>
        </w:rPr>
        <w:t xml:space="preserve">  </w:t>
      </w:r>
    </w:p>
    <w:p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Аналізувати основні сучасні проблеми естетичної теорії;</w:t>
      </w:r>
    </w:p>
    <w:p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Орієнтуватися в просторі художніх практик сьогодення.</w:t>
      </w:r>
    </w:p>
    <w:p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Реалізовувати набутий естетичний досвід як допоміжний засіб створення   успішного професійного іміджу</w:t>
      </w:r>
      <w:r>
        <w:rPr>
          <w:rFonts w:eastAsia="Calibri"/>
          <w:sz w:val="28"/>
          <w:szCs w:val="28"/>
          <w:lang w:val="uk-UA" w:eastAsia="ru-RU"/>
        </w:rPr>
        <w:t>.</w:t>
      </w:r>
    </w:p>
    <w:p>
      <w:p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>–</w:t>
      </w:r>
      <w:r>
        <w:rPr>
          <w:rFonts w:eastAsia="Calibri"/>
          <w:sz w:val="28"/>
          <w:szCs w:val="28"/>
          <w:lang w:val="ru-RU" w:eastAsia="ru-RU"/>
        </w:rPr>
        <w:t>.</w:t>
      </w:r>
      <w:r>
        <w:rPr>
          <w:rFonts w:eastAsia="Calibri"/>
          <w:sz w:val="28"/>
          <w:szCs w:val="28"/>
          <w:lang w:val="uk-UA" w:eastAsia="ru-RU"/>
        </w:rPr>
        <w:t xml:space="preserve"> </w:t>
      </w:r>
    </w:p>
    <w:p>
      <w:pPr>
        <w:spacing w:line="276" w:lineRule="auto"/>
        <w:ind w:firstLine="708"/>
        <w:rPr>
          <w:rFonts w:eastAsia="Calibri"/>
          <w:b/>
          <w:bCs/>
          <w:sz w:val="28"/>
          <w:szCs w:val="28"/>
          <w:highlight w:val="yellow"/>
          <w:lang w:val="uk-UA" w:eastAsia="ru-RU"/>
        </w:rPr>
      </w:pP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Методи і контрольні заходи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10. Здатність аналізувати та коментувати літературу з естетичної, філософської, соціокультурної проблематики.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pacing w:val="-10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ЗК 15. Здатність до креативної рефлексії, відкритість до інноваційних ідей і готовність до змін думок в світлі наявних даних та аргументів.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hang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РН02. Розуміти розмаїття та специфіку філософських дисциплін, знати філософську термінологію.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ru-RU" w:bidi="ar-EG"/>
              </w:rPr>
              <w:t>Написання есе.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РН24. Вміти здійснювати філософську рефлексію проблем глобалізації і відповідальності, культурної багатоманітності та самобутності, рівності та свободи у галузі креативних індустрій.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РН25. Вміти адаптувати філософські ідеї та смисли для соціально-проєктної реалізації в масових культурних практиках і креативних індустріях. </w:t>
            </w:r>
          </w:p>
          <w:p>
            <w:pPr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</w:p>
          <w:p>
            <w:pPr>
              <w:spacing w:after="200" w:line="276" w:lineRule="auto"/>
              <w:ind w:firstLine="29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Написання есе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</w:tbl>
    <w:p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тестових завдань та підсумкового тестування розміщені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: </w:t>
      </w:r>
    </w:p>
    <w:p>
      <w:pPr>
        <w:jc w:val="both"/>
        <w:rPr>
          <w:lang w:val="uk-UA"/>
        </w:rPr>
      </w:pPr>
      <w:r>
        <w:t>https</w:t>
      </w:r>
      <w:r>
        <w:rPr>
          <w:lang w:val="uk-UA"/>
        </w:rPr>
        <w:t xml:space="preserve"> </w:t>
      </w:r>
      <w:r>
        <w:fldChar w:fldCharType="begin"/>
      </w:r>
      <w:r>
        <w:instrText xml:space="preserve"> HYPERLINK "https://moodle.znu.edu.ua/course/view.php?id=1082" </w:instrText>
      </w:r>
      <w:r>
        <w:fldChar w:fldCharType="separate"/>
      </w:r>
      <w:r>
        <w:rPr>
          <w:rStyle w:val="11"/>
          <w:lang w:val="uk-UA"/>
        </w:rPr>
        <w:t>https://moodle.znu.edu.ua/course/view.php?id=1082</w:t>
      </w:r>
      <w:r>
        <w:rPr>
          <w:rStyle w:val="11"/>
          <w:lang w:val="uk-UA"/>
        </w:rPr>
        <w:fldChar w:fldCharType="end"/>
      </w:r>
    </w:p>
    <w:p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>
      <w:pPr>
        <w:jc w:val="both"/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Обов</w:t>
      </w:r>
      <w:r>
        <w:rPr>
          <w:b/>
          <w:bCs/>
          <w:i/>
          <w:iCs/>
          <w:color w:val="000000"/>
          <w:lang w:val="ru-RU"/>
        </w:rPr>
        <w:t>’</w:t>
      </w:r>
      <w:r>
        <w:rPr>
          <w:b/>
          <w:bCs/>
          <w:i/>
          <w:iCs/>
          <w:color w:val="000000"/>
          <w:lang w:val="uk-UA"/>
        </w:rPr>
        <w:t>язкові види роботи:</w:t>
      </w:r>
    </w:p>
    <w:p>
      <w:pPr>
        <w:ind w:left="284"/>
        <w:jc w:val="both"/>
        <w:rPr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Поточне тестування</w:t>
      </w:r>
      <w:r>
        <w:rPr>
          <w:color w:val="000000"/>
          <w:lang w:val="uk-UA"/>
        </w:rPr>
        <w:t xml:space="preserve"> – </w:t>
      </w:r>
      <w:r>
        <w:rPr>
          <w:color w:val="000000"/>
          <w:lang w:val="uk-UA" w:eastAsia="uk-UA"/>
        </w:rPr>
        <w:t xml:space="preserve">здійснюється в форматі тестування в системі </w:t>
      </w:r>
      <w:r>
        <w:rPr>
          <w:color w:val="000000"/>
          <w:lang w:eastAsia="uk-UA"/>
        </w:rPr>
        <w:t>Moodle</w:t>
      </w:r>
      <w:r>
        <w:rPr>
          <w:color w:val="000000"/>
          <w:lang w:val="uk-UA" w:eastAsia="uk-UA"/>
        </w:rPr>
        <w:t xml:space="preserve"> після </w:t>
      </w:r>
      <w:r>
        <w:rPr>
          <w:color w:val="000000"/>
          <w:lang w:val="uk-UA"/>
        </w:rPr>
        <w:t xml:space="preserve"> 10 лекцій ( </w:t>
      </w:r>
      <w:r>
        <w:rPr>
          <w:i/>
          <w:iCs/>
          <w:color w:val="000000"/>
        </w:rPr>
        <w:t>max</w:t>
      </w:r>
      <w:r>
        <w:rPr>
          <w:color w:val="000000"/>
          <w:lang w:val="uk-UA"/>
        </w:rPr>
        <w:t>.- 6 балів)</w:t>
      </w:r>
      <w:r>
        <w:rPr>
          <w:color w:val="000000"/>
          <w:lang w:val="uk-UA" w:eastAsia="uk-UA"/>
        </w:rPr>
        <w:t xml:space="preserve"> має на меті перевірку рівня </w:t>
      </w:r>
      <w:r>
        <w:rPr>
          <w:lang w:val="uk-UA"/>
        </w:rPr>
        <w:t>засвоєння  студентами основних положень курсу філософії.</w:t>
      </w:r>
      <w:r>
        <w:rPr>
          <w:color w:val="000000"/>
          <w:lang w:val="uk-UA"/>
        </w:rPr>
        <w:t>. Терміни для виконання кожного тесту - протягом семестру..</w:t>
      </w:r>
    </w:p>
    <w:p>
      <w:pPr>
        <w:ind w:firstLine="284"/>
        <w:jc w:val="both"/>
        <w:rPr>
          <w:lang w:val="uk-UA" w:eastAsia="uk-UA"/>
        </w:rPr>
      </w:pPr>
      <w:r>
        <w:rPr>
          <w:b/>
          <w:i/>
          <w:lang w:val="ru-RU" w:eastAsia="uk-UA"/>
        </w:rPr>
        <w:t>Рубіжний підсумковий контроль</w:t>
      </w:r>
      <w:r>
        <w:rPr>
          <w:lang w:val="ru-RU"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val="ru-RU" w:eastAsia="uk-UA"/>
        </w:rPr>
        <w:t xml:space="preserve"> по завершенні вивчення дисципліни протягом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val="ru-RU" w:eastAsia="uk-UA"/>
        </w:rPr>
        <w:t xml:space="preserve"> тестування</w:t>
      </w:r>
      <w:r>
        <w:rPr>
          <w:lang w:val="uk-UA" w:eastAsia="uk-UA"/>
        </w:rPr>
        <w:t xml:space="preserve"> на лекціях 1-5 та 6-10.</w:t>
      </w:r>
    </w:p>
    <w:p>
      <w:pPr>
        <w:ind w:firstLine="284"/>
        <w:jc w:val="both"/>
        <w:rPr>
          <w:lang w:val="ru-RU" w:eastAsia="uk-UA"/>
        </w:rPr>
      </w:pPr>
      <w:r>
        <w:rPr>
          <w:lang w:val="ru-RU" w:eastAsia="uk-UA"/>
        </w:rPr>
        <w:tab/>
      </w:r>
      <w:r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>
      <w:pPr>
        <w:ind w:firstLine="708"/>
        <w:rPr>
          <w:b/>
          <w:bCs/>
          <w:szCs w:val="28"/>
          <w:lang w:val="uk-UA" w:eastAsia="ru-RU"/>
        </w:rPr>
      </w:pPr>
      <w:r>
        <w:rPr>
          <w:b/>
          <w:bCs/>
          <w:i/>
          <w:iCs/>
          <w:color w:val="000000"/>
          <w:lang w:val="uk-UA"/>
        </w:rPr>
        <w:t>Підсумкове тестування (екзамен)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>40 балів)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–</w:t>
      </w:r>
      <w:r>
        <w:rPr>
          <w:lang w:val="ru-RU"/>
        </w:rPr>
        <w:t xml:space="preserve"> проводиться </w:t>
      </w:r>
      <w:r>
        <w:rPr>
          <w:color w:val="000000"/>
          <w:lang w:val="uk-UA" w:eastAsia="uk-UA"/>
        </w:rPr>
        <w:t xml:space="preserve">у форматі тестування в системі </w:t>
      </w:r>
      <w:r>
        <w:rPr>
          <w:color w:val="000000"/>
          <w:lang w:eastAsia="uk-UA"/>
        </w:rPr>
        <w:t>Moodle</w:t>
      </w:r>
      <w:r>
        <w:rPr>
          <w:lang w:val="uk-UA"/>
        </w:rPr>
        <w:t xml:space="preserve"> </w:t>
      </w:r>
      <w:r>
        <w:rPr>
          <w:lang w:val="ru-RU"/>
        </w:rPr>
        <w:t>по закінченні вивчення курсу з метою оцінювання результатів засвоєння студентами змісту навчальної дисципліни.</w:t>
      </w:r>
      <w:r>
        <w:rPr>
          <w:i/>
          <w:iCs/>
          <w:color w:val="000000"/>
          <w:lang w:val="uk-UA"/>
        </w:rPr>
        <w:t xml:space="preserve">. </w:t>
      </w:r>
      <w:r>
        <w:rPr>
          <w:color w:val="000000"/>
          <w:lang w:val="uk-UA"/>
        </w:rPr>
        <w:t>Підсумкове тестування складається з 40 питань (</w:t>
      </w:r>
      <w:r>
        <w:rPr>
          <w:color w:val="000000"/>
        </w:rPr>
        <w:t>max</w:t>
      </w:r>
      <w:r>
        <w:rPr>
          <w:color w:val="000000"/>
          <w:lang w:val="ru-RU"/>
        </w:rPr>
        <w:t xml:space="preserve"> 1 </w:t>
      </w:r>
      <w:r>
        <w:rPr>
          <w:color w:val="000000"/>
          <w:lang w:val="uk-UA"/>
        </w:rPr>
        <w:t>бал за кожне питання).</w:t>
      </w:r>
    </w:p>
    <w:p>
      <w:pPr>
        <w:jc w:val="both"/>
        <w:rPr>
          <w:i/>
          <w:iCs/>
          <w:color w:val="000000"/>
          <w:lang w:val="uk-UA"/>
        </w:rPr>
      </w:pPr>
    </w:p>
    <w:p>
      <w:pPr>
        <w:jc w:val="both"/>
        <w:rPr>
          <w:b/>
          <w:sz w:val="32"/>
          <w:szCs w:val="32"/>
          <w:lang w:val="uk-UA"/>
        </w:rPr>
      </w:pP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Тестування після 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 лекцій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Тестування після лекції 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3 .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Залік. Тестування </w:t>
            </w:r>
            <w:r>
              <w:rPr>
                <w:lang w:val="uk-UA"/>
              </w:rPr>
              <w:t xml:space="preserve">в 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rFonts w:eastAsia="Times New Roman"/>
          <w:b/>
          <w:lang w:val="uk-UA" w:eastAsia="ru-RU"/>
        </w:rPr>
      </w:pPr>
    </w:p>
    <w:p>
      <w:pPr>
        <w:pStyle w:val="1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Після 5 лекцій проводиться тестування в системі електронного забезпечення навчання ЗНУ </w:t>
      </w:r>
      <w:r>
        <w:t>Moodle</w:t>
      </w:r>
      <w:r>
        <w:rPr>
          <w:bCs/>
          <w:lang w:val="uk-UA"/>
        </w:rPr>
        <w:t>, під час якого студенти можуть набрати до 6 балів за кожний тест (це завдання складається з 6 питань, кожна правильна відповідь оцінюється 1 балом). Максимально за цей вид роботи студенти можуть набрати до 30 балів (5 балів Х 6 занять = 30 балів).</w:t>
      </w:r>
    </w:p>
    <w:p>
      <w:pPr>
        <w:pStyle w:val="1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Після 6-10 лекції проводиться тестування в системі електронного забезпечення навчання ЗНУ </w:t>
      </w:r>
      <w:r>
        <w:t>Moodle</w:t>
      </w:r>
      <w:r>
        <w:rPr>
          <w:bCs/>
          <w:lang w:val="uk-UA"/>
        </w:rPr>
        <w:t>, під час якого студенти можуть набрати до 6 балів за кожний тест (це завдання складається з 6 питань, кожна правильна відповідь оцінюється 1 балом. Максимально за цей вид роботи студенти можуть набрати до 30 балів (5 балів Х 6 занять = 30 балів).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Таким чином, під час поточного контролю студенти можуть набрати до 60 балів (30 балів +39 балів  = 60 балів)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2. Підсумковий контроль -залік-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ind w:firstLine="425"/>
        <w:jc w:val="both"/>
        <w:rPr>
          <w:bCs/>
          <w:lang w:val="ru-RU"/>
        </w:rPr>
      </w:pPr>
      <w:r>
        <w:rPr>
          <w:bCs/>
          <w:lang w:val="uk-UA"/>
        </w:rPr>
        <w:t>Отже, за весь курс студент може отримати до 100 балів.</w:t>
      </w:r>
    </w:p>
    <w:p>
      <w:pPr>
        <w:jc w:val="both"/>
        <w:rPr>
          <w:i/>
          <w:iCs/>
          <w:color w:val="000000"/>
          <w:lang w:val="ru-RU"/>
        </w:rPr>
      </w:pPr>
    </w:p>
    <w:p>
      <w:pPr>
        <w:rPr>
          <w:b/>
          <w:bCs/>
          <w:color w:val="000000"/>
          <w:lang w:val="uk-UA"/>
        </w:rPr>
      </w:pPr>
    </w:p>
    <w:p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53"/>
        <w:gridCol w:w="212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500" w:type="dxa"/>
            <w:vMerge w:val="restart"/>
          </w:tcPr>
          <w:p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500" w:type="dxa"/>
            <w:vMerge w:val="continue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024"/>
        <w:gridCol w:w="39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Тиждень</w:t>
            </w:r>
          </w:p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9" w:type="dxa"/>
            <w:gridSpan w:val="4"/>
            <w:shd w:val="clear" w:color="auto" w:fill="auto"/>
          </w:tcPr>
          <w:p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Змістовий модуль 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1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Естетика як філософська наука.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тестування- Лекція № 1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2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Мистецтво як естетичний феномен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Лекція № 2</w:t>
            </w:r>
          </w:p>
          <w:p>
            <w:pPr>
              <w:spacing w:line="256" w:lineRule="auto"/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>та усне опитування під час  семінарського заняття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 Лекція 3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3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Історія естетики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Лекція № 3.(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4С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Сучасна естетика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Лекція № 4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5 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 Семінар5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Категорії класичної естетики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 Семінар 6</w:t>
            </w:r>
          </w:p>
        </w:tc>
        <w:tc>
          <w:tcPr>
            <w:tcW w:w="3024" w:type="dxa"/>
            <w:shd w:val="clear" w:color="auto" w:fill="auto"/>
          </w:tcPr>
          <w:p>
            <w:pPr>
              <w:spacing w:line="256" w:lineRule="auto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Еволюція художніх стилів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69" w:type="dxa"/>
            <w:gridSpan w:val="3"/>
            <w:shd w:val="clear" w:color="auto" w:fill="auto"/>
          </w:tcPr>
          <w:p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Змістовний модуль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Семінар7</w:t>
            </w:r>
          </w:p>
        </w:tc>
        <w:tc>
          <w:tcPr>
            <w:tcW w:w="3024" w:type="dxa"/>
            <w:shd w:val="clear" w:color="auto" w:fill="auto"/>
          </w:tcPr>
          <w:p>
            <w:pPr>
              <w:spacing w:line="256" w:lineRule="auto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Еволюція художніх стилів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 19-21 століттях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 Семінар 8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Класична та постмодерністська естетика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 9</w:t>
            </w:r>
          </w:p>
        </w:tc>
        <w:tc>
          <w:tcPr>
            <w:tcW w:w="3024" w:type="dxa"/>
            <w:shd w:val="clear" w:color="auto" w:fill="auto"/>
          </w:tcPr>
          <w:p>
            <w:pPr>
              <w:spacing w:line="256" w:lineRule="auto"/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Концептуальне та актуальне мистецтво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Семінар10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естетична рецепція та естетична дескрипція як  основні дослідницькі напрямки сучасної естетики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</w:t>
            </w:r>
          </w:p>
          <w:p>
            <w:pPr>
              <w:spacing w:line="256" w:lineRule="auto"/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Семінар11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Проблемне поле сучасної естетики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Семінар12</w:t>
            </w:r>
          </w:p>
        </w:tc>
        <w:tc>
          <w:tcPr>
            <w:tcW w:w="3024" w:type="dxa"/>
            <w:shd w:val="clear" w:color="auto" w:fill="auto"/>
          </w:tcPr>
          <w:p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Основні адаптивні тенденції сучасної художньої діяльності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13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Семінар13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Цінність та ціна. теоретичні та практичні аспекти арт-ринку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Семінар14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Музеї як форма збереження та популяризації здобутків художньої творчості людства</w:t>
            </w:r>
          </w:p>
        </w:tc>
        <w:tc>
          <w:tcPr>
            <w:tcW w:w="3970" w:type="dxa"/>
            <w:shd w:val="clear" w:color="auto" w:fill="auto"/>
          </w:tcPr>
          <w:p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3024" w:type="dxa"/>
            <w:shd w:val="clear" w:color="auto" w:fill="auto"/>
          </w:tcPr>
          <w:p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397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60</w:t>
            </w:r>
          </w:p>
        </w:tc>
      </w:tr>
    </w:tbl>
    <w:p>
      <w:pPr>
        <w:ind w:left="2160" w:firstLine="720"/>
        <w:rPr>
          <w:b/>
          <w:bCs/>
          <w:color w:val="000000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tabs>
          <w:tab w:val="left" w:pos="993"/>
        </w:tabs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ab/>
      </w:r>
      <w:r>
        <w:rPr>
          <w:rFonts w:eastAsia="Calibri"/>
          <w:sz w:val="28"/>
          <w:szCs w:val="28"/>
          <w:lang w:val="uk-UA" w:eastAsia="ru-RU"/>
        </w:rPr>
        <w:t>1. Дубчак Л.М. Естетика: посібник для підготовки до іспитів / Л.М. Дубчак, П.С. Прибутько. 2-ге вид. стереотип.  Київ: Вид. Паливода А.В., 2016.  124 с.</w:t>
      </w:r>
    </w:p>
    <w:p>
      <w:pPr>
        <w:tabs>
          <w:tab w:val="left" w:pos="993"/>
        </w:tabs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ab/>
      </w:r>
      <w:r>
        <w:rPr>
          <w:rFonts w:eastAsia="Calibri"/>
          <w:sz w:val="28"/>
          <w:szCs w:val="28"/>
          <w:lang w:val="uk-UA" w:eastAsia="ru-RU"/>
        </w:rPr>
        <w:t>2. Етика та естетика: підруч. для студ. ВНЗ реком. МОНУ / [за ред. В.Л. Петрушенка</w:t>
      </w:r>
      <w:r>
        <w:rPr>
          <w:rFonts w:eastAsia="Calibri"/>
          <w:sz w:val="28"/>
          <w:szCs w:val="28"/>
          <w:lang w:val="ru-RU" w:eastAsia="ru-RU"/>
        </w:rPr>
        <w:t>]</w:t>
      </w:r>
      <w:r>
        <w:rPr>
          <w:rFonts w:eastAsia="Calibri"/>
          <w:sz w:val="28"/>
          <w:szCs w:val="28"/>
          <w:lang w:val="uk-UA" w:eastAsia="ru-RU"/>
        </w:rPr>
        <w:t xml:space="preserve">. Львів: Новий Світ  2013.   240 с. </w:t>
      </w:r>
    </w:p>
    <w:p>
      <w:pPr>
        <w:tabs>
          <w:tab w:val="left" w:pos="993"/>
        </w:tabs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ab/>
      </w:r>
      <w:r>
        <w:rPr>
          <w:rFonts w:eastAsia="Calibri"/>
          <w:sz w:val="28"/>
          <w:szCs w:val="28"/>
          <w:lang w:val="uk-UA" w:eastAsia="ru-RU"/>
        </w:rPr>
        <w:t>3. Естетика: навчальний посібник / </w:t>
      </w:r>
      <w:r>
        <w:rPr>
          <w:rFonts w:eastAsia="Calibri"/>
          <w:sz w:val="28"/>
          <w:szCs w:val="28"/>
          <w:lang w:val="ru-RU" w:eastAsia="ru-RU"/>
        </w:rPr>
        <w:t>[</w:t>
      </w:r>
      <w:r>
        <w:rPr>
          <w:rFonts w:eastAsia="Calibri"/>
          <w:sz w:val="28"/>
          <w:szCs w:val="28"/>
          <w:lang w:val="uk-UA" w:eastAsia="ru-RU"/>
        </w:rPr>
        <w:t>за ред. В. О. Лозового</w:t>
      </w:r>
      <w:r>
        <w:rPr>
          <w:rFonts w:eastAsia="Calibri"/>
          <w:sz w:val="28"/>
          <w:szCs w:val="28"/>
          <w:lang w:val="ru-RU" w:eastAsia="ru-RU"/>
        </w:rPr>
        <w:t>]</w:t>
      </w:r>
      <w:r>
        <w:rPr>
          <w:rFonts w:eastAsia="Calibri"/>
          <w:sz w:val="28"/>
          <w:szCs w:val="28"/>
          <w:lang w:val="uk-UA" w:eastAsia="ru-RU"/>
        </w:rPr>
        <w:t xml:space="preserve">.  Київ: Юрінком Інтер, 2018.  208 с. </w:t>
      </w:r>
    </w:p>
    <w:p>
      <w:pPr>
        <w:tabs>
          <w:tab w:val="left" w:pos="993"/>
        </w:tabs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ab/>
      </w:r>
      <w:r>
        <w:rPr>
          <w:rFonts w:eastAsia="Calibri"/>
          <w:sz w:val="28"/>
          <w:szCs w:val="28"/>
          <w:lang w:val="uk-UA" w:eastAsia="ru-RU"/>
        </w:rPr>
        <w:t>4. Левчук  Л. Т. Естетика: навчальний посібник, затверджено МОН України  / Л.Т. Левчук, В.І. Панченко, О.І. Оніщенко, Д. Ю. Кучерюк.  3-тє вид., допов. і переробл. Київ: Центр учбової літератури, 2013. 520 с. </w:t>
      </w:r>
    </w:p>
    <w:p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uk-UA" w:eastAsia="ru-RU"/>
        </w:rPr>
        <w:t>5. Сморж Л. О. Естетика : навч. посібник. Київ : Кондор, 2015. 334 с.</w:t>
      </w:r>
    </w:p>
    <w:p>
      <w:pPr>
        <w:tabs>
          <w:tab w:val="left" w:pos="993"/>
        </w:tabs>
        <w:jc w:val="both"/>
        <w:rPr>
          <w:rFonts w:eastAsia="Calibri"/>
          <w:sz w:val="28"/>
          <w:szCs w:val="28"/>
          <w:lang w:val="en-GB" w:eastAsia="ru-RU"/>
        </w:rPr>
      </w:pPr>
    </w:p>
    <w:p>
      <w:pPr>
        <w:rPr>
          <w:rFonts w:eastAsia="Calibri"/>
          <w:b/>
          <w:sz w:val="28"/>
          <w:szCs w:val="28"/>
          <w:lang w:val="uk-UA" w:eastAsia="ru-RU"/>
        </w:rPr>
      </w:pPr>
    </w:p>
    <w:p>
      <w:pPr>
        <w:rPr>
          <w:rFonts w:eastAsia="Calibri"/>
          <w:b/>
          <w:i/>
          <w:iCs/>
          <w:sz w:val="28"/>
          <w:szCs w:val="28"/>
          <w:lang w:val="uk-UA" w:eastAsia="ru-RU"/>
        </w:rPr>
      </w:pPr>
      <w:r>
        <w:rPr>
          <w:rFonts w:eastAsia="Calibri"/>
          <w:b/>
          <w:i/>
          <w:iCs/>
          <w:sz w:val="28"/>
          <w:szCs w:val="28"/>
          <w:lang w:val="uk-UA" w:eastAsia="ru-RU"/>
        </w:rPr>
        <w:t>Додаткові: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Анучина Л. В. Соціальне призначення мистецтва в різні культурні епохи: Навч.посібник. Харків: Регіон-інформ, 2015.  96 с.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Бовсунівська Т. Історія української естетики першої половини XIX століття. Київ: Видавничий дім Дмитра Бураго, 2011. 344 с. 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Жукова Н.А. Елітарність як компонент культуротворення: досвід некласичної естетики: [Монографія]. Київ: Вид.: ПАРАПАН, 2010. 244 с.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 Естетика: навчальний посібник для педагогів / за ред. Т. І. Андрущенко. Київ: МП Леся, 2014. 613 с.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Естетика : навчальний посібник / за ред. Л. Б. Мартиненко. Умань : ФОП Жовтий О.О., 2016. 137 с</w:t>
      </w:r>
    </w:p>
    <w:p>
      <w:pPr>
        <w:numPr>
          <w:ilvl w:val="0"/>
          <w:numId w:val="4"/>
        </w:num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Камінський А. Г. Основи естетики. Навчальний посібник. Тернопіль: Економічна думка,2004. 216 с.</w:t>
      </w:r>
    </w:p>
    <w:p>
      <w:pPr>
        <w:tabs>
          <w:tab w:val="left" w:pos="0"/>
          <w:tab w:val="left" w:pos="6135"/>
        </w:tabs>
        <w:overflowPunct w:val="0"/>
        <w:adjustRightInd w:val="0"/>
        <w:spacing w:after="200" w:line="276" w:lineRule="auto"/>
        <w:textAlignment w:val="baseline"/>
        <w:rPr>
          <w:rFonts w:eastAsia="Calibri"/>
          <w:i/>
          <w:iCs/>
          <w:sz w:val="28"/>
          <w:szCs w:val="28"/>
          <w:lang w:val="uk-UA"/>
        </w:rPr>
      </w:pPr>
      <w:r>
        <w:rPr>
          <w:rFonts w:eastAsia="Calibri"/>
          <w:b/>
          <w:i/>
          <w:iCs/>
          <w:sz w:val="28"/>
          <w:szCs w:val="28"/>
          <w:lang w:val="uk-UA"/>
        </w:rPr>
        <w:t>Інформаційні джерела</w:t>
      </w:r>
      <w:r>
        <w:rPr>
          <w:rFonts w:eastAsia="Calibri"/>
          <w:i/>
          <w:iCs/>
          <w:sz w:val="28"/>
          <w:szCs w:val="28"/>
          <w:lang w:val="uk-UA"/>
        </w:rPr>
        <w:t>:</w:t>
      </w:r>
    </w:p>
    <w:p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4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bCs/>
          <w:sz w:val="28"/>
          <w:szCs w:val="28"/>
          <w:lang w:val="uk-UA"/>
        </w:rPr>
        <w:t>Національна бібліотека України імені В.І. Вернадського</w:t>
      </w:r>
      <w:r>
        <w:rPr>
          <w:rFonts w:eastAsia="Calibri"/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Fonts w:eastAsia="Calibri"/>
          <w:bCs/>
          <w:sz w:val="28"/>
          <w:szCs w:val="28"/>
          <w:lang w:val="uk-UA"/>
        </w:rPr>
        <w:t>http://www.nbuv.gov.ua</w:t>
      </w:r>
      <w:r>
        <w:rPr>
          <w:rFonts w:eastAsia="Calibri"/>
          <w:bCs/>
          <w:sz w:val="28"/>
          <w:szCs w:val="28"/>
          <w:lang w:val="uk-UA"/>
        </w:rPr>
        <w:fldChar w:fldCharType="end"/>
      </w:r>
    </w:p>
    <w:p>
      <w:pPr>
        <w:numPr>
          <w:ilvl w:val="0"/>
          <w:numId w:val="5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ru-RU" w:eastAsia="ru-RU"/>
        </w:rPr>
        <w:t>Етика. Естетика. [текст]: навч. посібник / за наук. ред.  Панченка В.І. Київ: Центр учбової літератури, 2014. </w:t>
      </w:r>
      <w:r>
        <w:rPr>
          <w:rFonts w:eastAsia="Calibri"/>
          <w:sz w:val="28"/>
          <w:szCs w:val="28"/>
          <w:lang w:eastAsia="ru-RU"/>
        </w:rPr>
        <w:t>432 </w:t>
      </w:r>
      <w:r>
        <w:rPr>
          <w:rFonts w:eastAsia="Calibri"/>
          <w:sz w:val="28"/>
          <w:szCs w:val="28"/>
          <w:lang w:val="ru-RU" w:eastAsia="ru-RU"/>
        </w:rPr>
        <w:t>с</w:t>
      </w:r>
      <w:r>
        <w:rPr>
          <w:rFonts w:eastAsia="Calibri"/>
          <w:sz w:val="28"/>
          <w:szCs w:val="28"/>
          <w:lang w:eastAsia="ru-RU"/>
        </w:rPr>
        <w:t>. </w:t>
      </w:r>
      <w:r>
        <w:rPr>
          <w:rFonts w:ascii="Calibri" w:hAnsi="Calibri" w:eastAsia="Calibri"/>
        </w:rPr>
        <w:t>URL: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 HYPERLINK "http://culonline.com.ua/Books/Etika_Estetika_Panchenko.pdf" </w:instrText>
      </w:r>
      <w:r>
        <w:fldChar w:fldCharType="separate"/>
      </w:r>
      <w:r>
        <w:rPr>
          <w:rFonts w:eastAsia="Calibri"/>
          <w:sz w:val="28"/>
          <w:szCs w:val="28"/>
          <w:lang w:eastAsia="ru-RU"/>
        </w:rPr>
        <w:t>http://culonline.com.ua/Books/Etika_Estetika_Panchenko.pdf</w:t>
      </w:r>
      <w:r>
        <w:rPr>
          <w:rFonts w:eastAsia="Calibri"/>
          <w:sz w:val="28"/>
          <w:szCs w:val="28"/>
          <w:lang w:eastAsia="ru-RU"/>
        </w:rPr>
        <w:fldChar w:fldCharType="end"/>
      </w:r>
    </w:p>
    <w:p>
      <w:pPr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Бібліотека Конгресу США.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"http://www.loc.gov"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http://www.loc.gov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Британська бібліотека.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"http://www.bl.uk"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http://www.bl.uk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 xml:space="preserve">. </w:t>
      </w:r>
    </w:p>
    <w:p>
      <w:pPr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Національна бібліотека Франції.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"http://wwwbnf.fr"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http://wwwbnf.fr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Німецька національна бібліотека.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"http://www/d-nd.de"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http://www/d-nd.de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5"/>
        </w:numPr>
        <w:shd w:val="clear" w:color="auto" w:fill="FFFFFF"/>
        <w:suppressAutoHyphens/>
        <w:autoSpaceDN w:val="0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Європейська цифрова бібліотека (Е</w:t>
      </w:r>
      <w:r>
        <w:rPr>
          <w:rFonts w:eastAsia="Calibri"/>
          <w:sz w:val="28"/>
          <w:szCs w:val="28"/>
          <w:lang w:val="ru-RU"/>
        </w:rPr>
        <w:t>uropeana</w:t>
      </w:r>
      <w:r>
        <w:rPr>
          <w:rFonts w:eastAsia="Calibri"/>
          <w:sz w:val="28"/>
          <w:szCs w:val="28"/>
          <w:lang w:val="uk-UA"/>
        </w:rPr>
        <w:t xml:space="preserve">).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"http://dev.europeana.eu" </w:instrText>
      </w:r>
      <w:r>
        <w:fldChar w:fldCharType="separate"/>
      </w:r>
      <w:r>
        <w:rPr>
          <w:rFonts w:eastAsia="Calibri"/>
          <w:sz w:val="28"/>
          <w:szCs w:val="28"/>
          <w:lang w:val="ru-RU"/>
        </w:rPr>
        <w:t>http</w:t>
      </w:r>
      <w:r>
        <w:rPr>
          <w:rFonts w:eastAsia="Calibri"/>
          <w:sz w:val="28"/>
          <w:szCs w:val="28"/>
          <w:lang w:val="uk-UA"/>
        </w:rPr>
        <w:t>://</w:t>
      </w:r>
      <w:r>
        <w:rPr>
          <w:rFonts w:eastAsia="Calibri"/>
          <w:sz w:val="28"/>
          <w:szCs w:val="28"/>
          <w:lang w:val="ru-RU"/>
        </w:rPr>
        <w:t>dev</w:t>
      </w:r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ru-RU"/>
        </w:rPr>
        <w:t>europeana</w:t>
      </w:r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ru-RU"/>
        </w:rPr>
        <w:t>eu</w:t>
      </w:r>
      <w:r>
        <w:rPr>
          <w:rFonts w:eastAsia="Calibri"/>
          <w:sz w:val="28"/>
          <w:szCs w:val="28"/>
          <w:lang w:val="ru-RU"/>
        </w:rPr>
        <w:fldChar w:fldCharType="end"/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Style w:val="9"/>
          <w:b/>
          <w:bCs/>
          <w:color w:val="000000"/>
          <w:sz w:val="28"/>
          <w:szCs w:val="28"/>
          <w:lang w:val="uk-UA"/>
        </w:rPr>
        <w:footnoteReference w:id="1"/>
      </w:r>
    </w:p>
    <w:p>
      <w:pPr>
        <w:rPr>
          <w:b/>
          <w:bCs/>
          <w:color w:val="000000"/>
          <w:highlight w:val="yellow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Курс «Сучасні</w:t>
      </w:r>
      <w:r>
        <w:rPr>
          <w:rFonts w:hint="default"/>
          <w:i/>
          <w:iCs/>
          <w:color w:val="000000"/>
          <w:lang w:val="uk-UA"/>
        </w:rPr>
        <w:t xml:space="preserve"> проблеми естетики</w:t>
      </w:r>
      <w:r>
        <w:rPr>
          <w:i/>
          <w:iCs/>
          <w:color w:val="000000"/>
          <w:lang w:val="uk-UA"/>
        </w:rPr>
        <w:t xml:space="preserve">» передбачає обов’язкове відвідування лекційних занять і проходження тестування  в системі </w:t>
      </w:r>
      <w:r>
        <w:rPr>
          <w:i/>
          <w:iCs/>
          <w:color w:val="000000"/>
        </w:rPr>
        <w:t>Moode</w:t>
      </w:r>
      <w:r>
        <w:rPr>
          <w:i/>
          <w:iCs/>
          <w:color w:val="000000"/>
          <w:lang w:val="uk-UA"/>
        </w:rPr>
        <w:t xml:space="preserve"> після кожної лекції ( №№ 1-12). Студенти, які за певних обставин не можуть відвідувати лекції регулярно, мусять самостійно опрацювати текст лекції та пройти тестування після кожної лекції в зазначений термін. Студенти, які станом на початок екзаменаційної сесії мають менше як 35 балів за результатами поточного тестування, до підсумкового тестування (екзамену ) не допускаються.</w:t>
      </w: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Усі тестування, що виконуються студентами під час проходження курсу, повинні виконуватися самостійно і вчасно. Відповідно до чинних правових норм, плагіатом вважатиметься: копіювання чужої наукової роботи та оприлюднення результату під своїм іменем. Висока академічна культура та європейські стандарти якості освіти, яких дотримуються у ЗНУ, вимагають від дослідників відповідального ставлення до тестування.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Рекомендовані бази даних для пошуку джерел: </w:t>
      </w:r>
    </w:p>
    <w:p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Style w:val="11"/>
        </w:rPr>
        <w:t>http</w:t>
      </w:r>
      <w:r>
        <w:rPr>
          <w:rStyle w:val="11"/>
          <w:lang w:val="uk-UA"/>
        </w:rPr>
        <w:t>://</w:t>
      </w:r>
      <w:r>
        <w:rPr>
          <w:rStyle w:val="11"/>
        </w:rPr>
        <w:t>www</w:t>
      </w:r>
      <w:r>
        <w:rPr>
          <w:rStyle w:val="11"/>
          <w:lang w:val="uk-UA"/>
        </w:rPr>
        <w:t>.</w:t>
      </w:r>
      <w:r>
        <w:rPr>
          <w:rStyle w:val="11"/>
        </w:rPr>
        <w:t>nbuv</w:t>
      </w:r>
      <w:r>
        <w:rPr>
          <w:rStyle w:val="11"/>
          <w:lang w:val="uk-UA"/>
        </w:rPr>
        <w:t>.</w:t>
      </w:r>
      <w:r>
        <w:rPr>
          <w:rStyle w:val="11"/>
        </w:rPr>
        <w:t>gov</w:t>
      </w:r>
      <w:r>
        <w:rPr>
          <w:rStyle w:val="11"/>
          <w:lang w:val="uk-UA"/>
        </w:rPr>
        <w:t>.</w:t>
      </w:r>
      <w:r>
        <w:rPr>
          <w:rStyle w:val="11"/>
        </w:rPr>
        <w:t>ua</w:t>
      </w:r>
      <w:r>
        <w:rPr>
          <w:rStyle w:val="11"/>
        </w:rPr>
        <w:fldChar w:fldCharType="end"/>
      </w:r>
    </w:p>
    <w:p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>Цифрова повнотекстова база даних філософської літератури</w:t>
      </w:r>
      <w:r>
        <w:rPr>
          <w:i/>
          <w:iCs/>
          <w:color w:val="000000"/>
          <w:lang w:val="ru-RU"/>
        </w:rPr>
        <w:t xml:space="preserve">: </w:t>
      </w:r>
      <w:r>
        <w:fldChar w:fldCharType="begin"/>
      </w:r>
      <w:r>
        <w:instrText xml:space="preserve"> HYPERLINK "https://www.jstor.org/" </w:instrText>
      </w:r>
      <w:r>
        <w:fldChar w:fldCharType="separate"/>
      </w:r>
      <w:r>
        <w:rPr>
          <w:rStyle w:val="11"/>
        </w:rPr>
        <w:t>https</w:t>
      </w:r>
      <w:r>
        <w:rPr>
          <w:rStyle w:val="11"/>
          <w:lang w:val="ru-RU"/>
        </w:rPr>
        <w:t>://</w:t>
      </w:r>
      <w:r>
        <w:rPr>
          <w:rStyle w:val="11"/>
        </w:rPr>
        <w:t>www</w:t>
      </w:r>
      <w:r>
        <w:rPr>
          <w:rStyle w:val="11"/>
          <w:lang w:val="ru-RU"/>
        </w:rPr>
        <w:t>.</w:t>
      </w:r>
      <w:r>
        <w:rPr>
          <w:rStyle w:val="11"/>
        </w:rPr>
        <w:t>jstor</w:t>
      </w:r>
      <w:r>
        <w:rPr>
          <w:rStyle w:val="11"/>
          <w:lang w:val="ru-RU"/>
        </w:rPr>
        <w:t>.</w:t>
      </w:r>
      <w:r>
        <w:rPr>
          <w:rStyle w:val="11"/>
        </w:rPr>
        <w:t>org</w:t>
      </w:r>
      <w:r>
        <w:rPr>
          <w:rStyle w:val="11"/>
          <w:lang w:val="ru-RU"/>
        </w:rPr>
        <w:t>/</w:t>
      </w:r>
      <w:r>
        <w:rPr>
          <w:rStyle w:val="11"/>
          <w:lang w:val="ru-RU"/>
        </w:rPr>
        <w:fldChar w:fldCharType="end"/>
      </w:r>
    </w:p>
    <w:p>
      <w:pPr>
        <w:jc w:val="both"/>
        <w:rPr>
          <w:color w:val="000000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форумі курсу. 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надішліть електронного листа з позначкою «Важливо» на адресу </w:t>
      </w:r>
      <w:r>
        <w:fldChar w:fldCharType="begin"/>
      </w:r>
      <w:r>
        <w:instrText xml:space="preserve"> HYPERLINK "mailto:tupakhina@znu.edu.ua" </w:instrText>
      </w:r>
      <w:r>
        <w:fldChar w:fldCharType="separate"/>
      </w:r>
      <w:r>
        <w:rPr>
          <w:rStyle w:val="11"/>
          <w:i/>
          <w:iCs/>
        </w:rPr>
        <w:t>tupakhina</w:t>
      </w:r>
      <w:r>
        <w:rPr>
          <w:rStyle w:val="11"/>
          <w:i/>
          <w:iCs/>
          <w:lang w:val="ru-RU"/>
        </w:rPr>
        <w:t>@</w:t>
      </w:r>
      <w:r>
        <w:rPr>
          <w:rStyle w:val="11"/>
          <w:i/>
          <w:iCs/>
        </w:rPr>
        <w:t>znu</w:t>
      </w:r>
      <w:r>
        <w:rPr>
          <w:rStyle w:val="11"/>
          <w:i/>
          <w:iCs/>
          <w:lang w:val="ru-RU"/>
        </w:rPr>
        <w:t>.</w:t>
      </w:r>
      <w:r>
        <w:rPr>
          <w:rStyle w:val="11"/>
          <w:i/>
          <w:iCs/>
        </w:rPr>
        <w:t>edu</w:t>
      </w:r>
      <w:r>
        <w:rPr>
          <w:rStyle w:val="11"/>
          <w:i/>
          <w:iCs/>
          <w:lang w:val="ru-RU"/>
        </w:rPr>
        <w:t>.</w:t>
      </w:r>
      <w:r>
        <w:rPr>
          <w:rStyle w:val="11"/>
          <w:i/>
          <w:iCs/>
        </w:rPr>
        <w:t>ua</w:t>
      </w:r>
      <w:r>
        <w:rPr>
          <w:rStyle w:val="11"/>
          <w:i/>
          <w:iCs/>
        </w:rPr>
        <w:fldChar w:fldCharType="end"/>
      </w:r>
      <w:r>
        <w:rPr>
          <w:i/>
          <w:iCs/>
          <w:lang w:val="uk-UA"/>
        </w:rPr>
        <w:t>. У листі обов’язково вкажіть ваше прізвище та ім’я, курс та шифр академічної групи.</w:t>
      </w:r>
    </w:p>
    <w:p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</w:t>
      </w:r>
    </w:p>
    <w:p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ДОДАТОК ДО СИЛАБУСУ ЗНУ – 2020-2021</w:t>
      </w:r>
    </w:p>
    <w:p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2020-2021 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н. р. (гіперпосилання на сторінку сайта)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АКАДЕМІЧНА ДОБРОЧЕСНІСТЬ. </w:t>
      </w:r>
      <w:r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>
        <w:fldChar w:fldCharType="begin"/>
      </w:r>
      <w:r>
        <w:instrText xml:space="preserve"> HYPERLINK "https://tinyurl.com/ya6yk4ad"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https://tinyurl.com/ya6yk4ad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>
        <w:fldChar w:fldCharType="begin"/>
      </w:r>
      <w:r>
        <w:instrText xml:space="preserve"> HYPERLINK "https://tinyurl.com/y6wzzlu3"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https://tinyurl.com/y6wzzlu3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ОСВІТНІЙ ПРОЦЕС ТА ЗАБЕЗПЕЧЕННЯ ЯКОСТІ ОСВІТИ. </w:t>
      </w:r>
      <w:r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"https://tinyurl.com/y9tve4lk"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https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  <w:lang w:val="uk-UA"/>
        </w:rPr>
        <w:t>://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tinyurl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  <w:lang w:val="uk-UA"/>
        </w:rPr>
        <w:t>.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com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  <w:lang w:val="uk-UA"/>
        </w:rPr>
        <w:t>/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y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  <w:lang w:val="uk-UA"/>
        </w:rPr>
        <w:t>9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tve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  <w:lang w:val="uk-UA"/>
        </w:rPr>
        <w:t>4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t>lk</w:t>
      </w:r>
      <w:r>
        <w:rPr>
          <w:rStyle w:val="11"/>
          <w:rFonts w:ascii="Cambria" w:hAnsi="Cambria" w:cs="Cambria"/>
          <w:sz w:val="20"/>
          <w:szCs w:val="20"/>
          <w:shd w:val="clear" w:color="auto" w:fill="FFFFFF"/>
        </w:rPr>
        <w:fldChar w:fldCharType="end"/>
      </w:r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ПОВТОРНЕ ВИВЧЕННЯ ДИСЦИПЛІН, ВІДРАХУВАННЯ. </w:t>
      </w:r>
      <w:r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"https://tinyurl.com/y9pkmmp5"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https://tinyurl.com/y9pkmmp5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"https://tinyurl.com/ycds57la"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https://tinyurl.com/ycds57la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"https://tinyurl.com/y8gbt4xs"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https://tinyurl.com/y8gbt4xs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"https://tinyurl.com/ycyfws9v"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https://tinyurl.com/ycyfws9v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"https://tinyurl.com/yd6bq6p9"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https://tinyurl.com/yd6bq6p9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"https://tinyurl.com/y9r5dpwh"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https://tinyurl.com/y9r5dpwh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(Воронков В. В., 1 корп., 29 каб., тел. +38 (061) 289-14-18).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>
        <w:rPr>
          <w:rFonts w:ascii="Cambria" w:hAnsi="Cambria" w:cs="Cambria"/>
          <w:sz w:val="20"/>
          <w:szCs w:val="20"/>
          <w:lang w:val="uk-UA"/>
        </w:rPr>
        <w:t>Телефон довіри практичного психолога (061)228-15-84 (щоденно з 9 до 21).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r>
        <w:fldChar w:fldCharType="begin"/>
      </w:r>
      <w:r>
        <w:instrText xml:space="preserve"> HYPERLINK "https://tinyurl.com/ydhcsagx"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https://tinyurl.com/ydhcsagx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НАВЧАННЯ. 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r>
        <w:fldChar w:fldCharType="begin"/>
      </w:r>
      <w:r>
        <w:instrText xml:space="preserve"> HYPERLINK "http://library.znu.edu.ua" </w:instrText>
      </w:r>
      <w:r>
        <w:fldChar w:fldCharType="separate"/>
      </w:r>
      <w:r>
        <w:rPr>
          <w:rStyle w:val="11"/>
          <w:rFonts w:ascii="Cambria" w:hAnsi="Cambria" w:cs="Cambria"/>
          <w:sz w:val="20"/>
          <w:szCs w:val="20"/>
          <w:lang w:val="uk-UA"/>
        </w:rPr>
        <w:t>http://library.znu.edu.ua</w:t>
      </w:r>
      <w:r>
        <w:rPr>
          <w:rStyle w:val="11"/>
          <w:rFonts w:ascii="Cambria" w:hAnsi="Cambria" w:cs="Cambria"/>
          <w:sz w:val="20"/>
          <w:szCs w:val="20"/>
          <w:lang w:val="uk-UA"/>
        </w:rPr>
        <w:fldChar w:fldCharType="end"/>
      </w:r>
      <w:r>
        <w:rPr>
          <w:rFonts w:ascii="Cambria" w:hAnsi="Cambria" w:cs="Cambria"/>
          <w:sz w:val="20"/>
          <w:szCs w:val="20"/>
          <w:lang w:val="uk-UA"/>
        </w:rPr>
        <w:t>. Графік роботи абонементів: понеділок – п`ятниця з 08.00 до 17.00; субота з 09.00 до 15.00.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  <w:r>
        <w:rPr>
          <w:rFonts w:ascii="Cambria" w:hAnsi="Cambria" w:cs="Cambria"/>
          <w:sz w:val="14"/>
          <w:szCs w:val="14"/>
          <w:lang w:val="uk-UA"/>
        </w:rPr>
        <w:t xml:space="preserve"> </w:t>
      </w:r>
    </w:p>
    <w:p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Якщо забули пароль/логін, направте листа з темою «Забув пароль/логін» за адресами: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>
      <w:pPr>
        <w:jc w:val="both"/>
        <w:rPr>
          <w:rFonts w:ascii="Cambria" w:hAnsi="Cambria" w:cs="Cambria"/>
          <w:sz w:val="14"/>
          <w:szCs w:val="14"/>
          <w:lang w:val="uk-UA"/>
        </w:rPr>
      </w:pP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>
      <w:pPr>
        <w:jc w:val="both"/>
        <w:rPr>
          <w:lang w:val="ru-RU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>
        <w:rPr>
          <w:rFonts w:ascii="Cambria" w:hAnsi="Cambria" w:cs="Cambria"/>
          <w:sz w:val="20"/>
          <w:szCs w:val="20"/>
          <w:lang w:val="uk-UA"/>
        </w:rPr>
        <w:t>: http://sites.znu.edu.ua/confucius.</w:t>
      </w: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0"/>
        <w:rPr>
          <w:lang w:val="ru-RU"/>
        </w:rPr>
      </w:pPr>
      <w:r>
        <w:rPr>
          <w:rStyle w:val="9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30 годин (1 кредит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1">
    <w:p>
      <w:pPr>
        <w:pStyle w:val="1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E5B42"/>
    <w:multiLevelType w:val="multilevel"/>
    <w:tmpl w:val="271E5B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5DB"/>
    <w:multiLevelType w:val="multilevel"/>
    <w:tmpl w:val="2EC565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FB7"/>
    <w:multiLevelType w:val="multilevel"/>
    <w:tmpl w:val="43C76FB7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98933F6"/>
    <w:multiLevelType w:val="multilevel"/>
    <w:tmpl w:val="598933F6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837BB6"/>
    <w:multiLevelType w:val="multilevel"/>
    <w:tmpl w:val="78837B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4"/>
    <w:rsid w:val="000B4B20"/>
    <w:rsid w:val="0018547B"/>
    <w:rsid w:val="002469D4"/>
    <w:rsid w:val="00380F14"/>
    <w:rsid w:val="00426CDF"/>
    <w:rsid w:val="0043598C"/>
    <w:rsid w:val="00442A33"/>
    <w:rsid w:val="005A62AC"/>
    <w:rsid w:val="00607AF3"/>
    <w:rsid w:val="006D6DE1"/>
    <w:rsid w:val="007A6CE9"/>
    <w:rsid w:val="00931FB7"/>
    <w:rsid w:val="009805E5"/>
    <w:rsid w:val="009D1337"/>
    <w:rsid w:val="00AE2EF9"/>
    <w:rsid w:val="00D31518"/>
    <w:rsid w:val="00F01610"/>
    <w:rsid w:val="00F732F8"/>
    <w:rsid w:val="355157A5"/>
    <w:rsid w:val="738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cho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4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40"/>
      <w:outlineLvl w:val="2"/>
    </w:pPr>
    <w:rPr>
      <w:rFonts w:ascii="Calibri" w:hAnsi="Calibri" w:eastAsia="MS Gothic" w:cs="Calibri"/>
      <w:color w:val="243F60"/>
    </w:rPr>
  </w:style>
  <w:style w:type="paragraph" w:styleId="4">
    <w:name w:val="heading 4"/>
    <w:basedOn w:val="1"/>
    <w:next w:val="1"/>
    <w:link w:val="14"/>
    <w:qFormat/>
    <w:uiPriority w:val="99"/>
    <w:pPr>
      <w:keepNext/>
      <w:keepLines/>
      <w:spacing w:before="4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5">
    <w:name w:val="heading 5"/>
    <w:basedOn w:val="1"/>
    <w:next w:val="1"/>
    <w:link w:val="15"/>
    <w:qFormat/>
    <w:uiPriority w:val="99"/>
    <w:pPr>
      <w:keepNext/>
      <w:keepLines/>
      <w:spacing w:before="40"/>
      <w:outlineLvl w:val="4"/>
    </w:pPr>
    <w:rPr>
      <w:rFonts w:ascii="Calibri" w:hAnsi="Calibri" w:eastAsia="MS Gothic" w:cs="Calibri"/>
      <w:color w:val="365F91"/>
    </w:rPr>
  </w:style>
  <w:style w:type="paragraph" w:styleId="6">
    <w:name w:val="heading 6"/>
    <w:basedOn w:val="1"/>
    <w:next w:val="1"/>
    <w:link w:val="16"/>
    <w:qFormat/>
    <w:uiPriority w:val="99"/>
    <w:pPr>
      <w:keepNext/>
      <w:keepLines/>
      <w:spacing w:before="40"/>
      <w:outlineLvl w:val="5"/>
    </w:pPr>
    <w:rPr>
      <w:rFonts w:ascii="Calibri" w:hAnsi="Calibri" w:eastAsia="MS Gothic" w:cs="Calibri"/>
      <w:color w:val="243F6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semiHidden/>
    <w:qFormat/>
    <w:uiPriority w:val="99"/>
    <w:rPr>
      <w:rFonts w:cs="Times New Roman"/>
      <w:vertAlign w:val="superscript"/>
    </w:rPr>
  </w:style>
  <w:style w:type="paragraph" w:styleId="10">
    <w:name w:val="footnote text"/>
    <w:basedOn w:val="1"/>
    <w:link w:val="19"/>
    <w:semiHidden/>
    <w:qFormat/>
    <w:uiPriority w:val="99"/>
    <w:rPr>
      <w:rFonts w:asciiTheme="minorHAnsi" w:hAnsiTheme="minorHAnsi" w:eastAsiaTheme="minorHAnsi" w:cstheme="minorBidi"/>
      <w:sz w:val="22"/>
      <w:szCs w:val="22"/>
      <w:lang w:val="zh-C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Заголовок 2 Знак"/>
    <w:basedOn w:val="7"/>
    <w:link w:val="2"/>
    <w:qFormat/>
    <w:uiPriority w:val="99"/>
    <w:rPr>
      <w:rFonts w:ascii="Calibri" w:hAnsi="Calibri" w:eastAsia="MS Gothic" w:cs="Calibri"/>
      <w:color w:val="365F91"/>
      <w:sz w:val="26"/>
      <w:szCs w:val="26"/>
      <w:lang w:val="en-US"/>
    </w:rPr>
  </w:style>
  <w:style w:type="character" w:customStyle="1" w:styleId="13">
    <w:name w:val="Заголовок 3 Знак"/>
    <w:basedOn w:val="7"/>
    <w:link w:val="3"/>
    <w:qFormat/>
    <w:uiPriority w:val="99"/>
    <w:rPr>
      <w:rFonts w:ascii="Calibri" w:hAnsi="Calibri" w:eastAsia="MS Gothic" w:cs="Calibri"/>
      <w:color w:val="243F60"/>
      <w:sz w:val="24"/>
      <w:szCs w:val="24"/>
      <w:lang w:val="en-US"/>
    </w:rPr>
  </w:style>
  <w:style w:type="character" w:customStyle="1" w:styleId="14">
    <w:name w:val="Заголовок 4 Знак"/>
    <w:basedOn w:val="7"/>
    <w:link w:val="4"/>
    <w:qFormat/>
    <w:uiPriority w:val="99"/>
    <w:rPr>
      <w:rFonts w:ascii="Calibri" w:hAnsi="Calibri" w:eastAsia="MS Gothic" w:cs="Calibri"/>
      <w:i/>
      <w:iCs/>
      <w:color w:val="365F91"/>
      <w:sz w:val="24"/>
      <w:szCs w:val="24"/>
      <w:lang w:val="en-US"/>
    </w:rPr>
  </w:style>
  <w:style w:type="character" w:customStyle="1" w:styleId="15">
    <w:name w:val="Заголовок 5 Знак"/>
    <w:basedOn w:val="7"/>
    <w:link w:val="5"/>
    <w:qFormat/>
    <w:uiPriority w:val="99"/>
    <w:rPr>
      <w:rFonts w:ascii="Calibri" w:hAnsi="Calibri" w:eastAsia="MS Gothic" w:cs="Calibri"/>
      <w:color w:val="365F91"/>
      <w:sz w:val="24"/>
      <w:szCs w:val="24"/>
      <w:lang w:val="en-US"/>
    </w:rPr>
  </w:style>
  <w:style w:type="character" w:customStyle="1" w:styleId="16">
    <w:name w:val="Заголовок 6 Знак"/>
    <w:basedOn w:val="7"/>
    <w:link w:val="6"/>
    <w:qFormat/>
    <w:uiPriority w:val="99"/>
    <w:rPr>
      <w:rFonts w:ascii="Calibri" w:hAnsi="Calibri" w:eastAsia="MS Gothic" w:cs="Calibri"/>
      <w:color w:val="243F60"/>
      <w:sz w:val="24"/>
      <w:szCs w:val="24"/>
      <w:lang w:val="en-US"/>
    </w:rPr>
  </w:style>
  <w:style w:type="paragraph" w:styleId="17">
    <w:name w:val="List Paragraph"/>
    <w:basedOn w:val="1"/>
    <w:qFormat/>
    <w:uiPriority w:val="99"/>
    <w:pPr>
      <w:ind w:left="720"/>
    </w:pPr>
  </w:style>
  <w:style w:type="character" w:customStyle="1" w:styleId="18">
    <w:name w:val="s1"/>
    <w:qFormat/>
    <w:uiPriority w:val="99"/>
  </w:style>
  <w:style w:type="character" w:customStyle="1" w:styleId="19">
    <w:name w:val="Текст сноски Знак"/>
    <w:link w:val="10"/>
    <w:semiHidden/>
    <w:locked/>
    <w:uiPriority w:val="99"/>
    <w:rPr>
      <w:lang w:val="zh-CN"/>
    </w:rPr>
  </w:style>
  <w:style w:type="character" w:customStyle="1" w:styleId="20">
    <w:name w:val="Текст сноски Знак1"/>
    <w:basedOn w:val="7"/>
    <w:semiHidden/>
    <w:qFormat/>
    <w:uiPriority w:val="99"/>
    <w:rPr>
      <w:rFonts w:ascii="Times New Roman" w:hAnsi="Times New Roman" w:eastAsia="MS Mincho" w:cs="Times New Roman"/>
      <w:sz w:val="20"/>
      <w:szCs w:val="20"/>
      <w:lang w:val="en-US"/>
    </w:rPr>
  </w:style>
  <w:style w:type="character" w:customStyle="1" w:styleId="2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3080</Words>
  <Characters>17559</Characters>
  <Lines>146</Lines>
  <Paragraphs>41</Paragraphs>
  <TotalTime>7</TotalTime>
  <ScaleCrop>false</ScaleCrop>
  <LinksUpToDate>false</LinksUpToDate>
  <CharactersWithSpaces>20598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2023-03-07T14:40:00Z</dcterms:created>
  <dc:creator>Людмила Кривега</dc:creator>
  <cp:lastModifiedBy>Mila</cp:lastModifiedBy>
  <dcterms:modified xsi:type="dcterms:W3CDTF">2023-09-10T22:27:56Z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1107DEDB78044EE3BE4A4F5E639FCE19_13</vt:lpwstr>
  </property>
</Properties>
</file>